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1.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82D012" w14:textId="3C1A1E1C" w:rsidR="008E336A" w:rsidRDefault="002214E6" w:rsidP="002214E6">
      <w:pPr>
        <w:pStyle w:val="Pagedecouverture"/>
        <w:rPr>
          <w:noProof/>
        </w:rPr>
      </w:pPr>
      <w:bookmarkStart w:id="0" w:name="LW_BM_COVERPAGE"/>
      <w:r>
        <w:rPr>
          <w:noProof/>
        </w:rPr>
        <w:pict w14:anchorId="648E60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5D763DDA-6A00-43DD-9FCF-3331DB4954D4" style="width:455.25pt;height:348pt">
            <v:imagedata r:id="rId14" o:title=""/>
          </v:shape>
        </w:pict>
      </w:r>
    </w:p>
    <w:bookmarkEnd w:id="0"/>
    <w:p w14:paraId="71B82096" w14:textId="77777777" w:rsidR="008E336A" w:rsidRDefault="008E336A" w:rsidP="008E336A">
      <w:pPr>
        <w:rPr>
          <w:noProof/>
        </w:rPr>
        <w:sectPr w:rsidR="008E336A" w:rsidSect="002214E6">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tbl>
      <w:tblPr>
        <w:tblStyle w:val="TableLetterhead"/>
        <w:tblW w:w="9480" w:type="dxa"/>
        <w:tblLook w:val="0620" w:firstRow="1" w:lastRow="0" w:firstColumn="0" w:lastColumn="0" w:noHBand="1" w:noVBand="1"/>
        <w:tblDescription w:val="This table contains the logo of the European Commission in the left column and information about the organisational entity of the signatory in the right column."/>
      </w:tblPr>
      <w:tblGrid>
        <w:gridCol w:w="2400"/>
        <w:gridCol w:w="7080"/>
      </w:tblGrid>
      <w:tr w:rsidR="00737161" w14:paraId="19CC9C97" w14:textId="77777777">
        <w:trPr>
          <w:cantSplit/>
        </w:trPr>
        <w:tc>
          <w:tcPr>
            <w:tcW w:w="2400" w:type="dxa"/>
          </w:tcPr>
          <w:p w14:paraId="78C72F0E" w14:textId="35F9BF42" w:rsidR="00737161" w:rsidRDefault="00737161">
            <w:pPr>
              <w:pStyle w:val="ZFlag"/>
              <w:rPr>
                <w:noProof/>
              </w:rPr>
            </w:pPr>
            <w:bookmarkStart w:id="1" w:name="_GoBack"/>
            <w:bookmarkEnd w:id="1"/>
          </w:p>
        </w:tc>
        <w:tc>
          <w:tcPr>
            <w:tcW w:w="7080" w:type="dxa"/>
          </w:tcPr>
          <w:p w14:paraId="1819332A" w14:textId="25C371A2" w:rsidR="00737161" w:rsidRDefault="00737161">
            <w:pPr>
              <w:pStyle w:val="ZDGName"/>
              <w:rPr>
                <w:b/>
                <w:noProof/>
              </w:rPr>
            </w:pPr>
          </w:p>
        </w:tc>
      </w:tr>
    </w:tbl>
    <w:sdt>
      <w:sdtPr>
        <w:rPr>
          <w:rFonts w:ascii="Times New Roman" w:hAnsi="Times New Roman"/>
          <w:b w:val="0"/>
          <w:caps w:val="0"/>
          <w:noProof/>
        </w:rPr>
        <w:id w:val="-1035111576"/>
        <w:docPartObj>
          <w:docPartGallery w:val="Table of Contents"/>
          <w:docPartUnique/>
        </w:docPartObj>
      </w:sdtPr>
      <w:sdtEndPr/>
      <w:sdtContent>
        <w:p w14:paraId="754B7924" w14:textId="77777777" w:rsidR="00444145" w:rsidRDefault="00444145">
          <w:pPr>
            <w:pStyle w:val="TOCHeading"/>
            <w:rPr>
              <w:noProof/>
            </w:rPr>
          </w:pPr>
          <w:r>
            <w:rPr>
              <w:noProof/>
            </w:rPr>
            <w:t>Contents</w:t>
          </w:r>
        </w:p>
        <w:p w14:paraId="4A6FD69E" w14:textId="67C1E5ED" w:rsidR="00370F6C" w:rsidRDefault="00F27328">
          <w:pPr>
            <w:pStyle w:val="TOC1"/>
            <w:rPr>
              <w:rFonts w:asciiTheme="minorHAnsi" w:eastAsiaTheme="minorEastAsia" w:hAnsiTheme="minorHAnsi" w:cstheme="minorBidi"/>
              <w:noProof/>
              <w:kern w:val="2"/>
              <w:szCs w:val="24"/>
              <w:lang w:val="en-IE" w:eastAsia="en-IE"/>
              <w14:ligatures w14:val="standardContextual"/>
            </w:rPr>
          </w:pPr>
          <w:r>
            <w:rPr>
              <w:noProof/>
            </w:rPr>
            <w:fldChar w:fldCharType="begin"/>
          </w:r>
          <w:r>
            <w:rPr>
              <w:noProof/>
            </w:rPr>
            <w:instrText xml:space="preserve"> TOC \o "1-4" \h \z \u </w:instrText>
          </w:r>
          <w:r>
            <w:rPr>
              <w:noProof/>
            </w:rPr>
            <w:fldChar w:fldCharType="separate"/>
          </w:r>
          <w:hyperlink w:anchor="_Toc234227826" w:history="1">
            <w:r w:rsidR="00370F6C" w:rsidRPr="00FC263E">
              <w:rPr>
                <w:rStyle w:val="Hyperlink"/>
                <w:noProof/>
              </w:rPr>
              <w:t>1.</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INTRODUCTION</w:t>
            </w:r>
            <w:r w:rsidR="00370F6C">
              <w:rPr>
                <w:noProof/>
                <w:webHidden/>
              </w:rPr>
              <w:tab/>
            </w:r>
            <w:r w:rsidR="00370F6C">
              <w:rPr>
                <w:noProof/>
                <w:webHidden/>
              </w:rPr>
              <w:fldChar w:fldCharType="begin"/>
            </w:r>
            <w:r w:rsidR="00370F6C">
              <w:rPr>
                <w:noProof/>
                <w:webHidden/>
              </w:rPr>
              <w:instrText xml:space="preserve"> PAGEREF _Toc234227826 \h </w:instrText>
            </w:r>
            <w:r w:rsidR="00370F6C">
              <w:rPr>
                <w:noProof/>
                <w:webHidden/>
              </w:rPr>
            </w:r>
            <w:r w:rsidR="00370F6C">
              <w:rPr>
                <w:noProof/>
                <w:webHidden/>
              </w:rPr>
              <w:fldChar w:fldCharType="separate"/>
            </w:r>
            <w:r w:rsidR="00370F6C">
              <w:rPr>
                <w:noProof/>
                <w:webHidden/>
              </w:rPr>
              <w:t>6</w:t>
            </w:r>
            <w:r w:rsidR="00370F6C">
              <w:rPr>
                <w:noProof/>
                <w:webHidden/>
              </w:rPr>
              <w:fldChar w:fldCharType="end"/>
            </w:r>
          </w:hyperlink>
        </w:p>
        <w:p w14:paraId="3F893906" w14:textId="27450C1F" w:rsidR="00370F6C" w:rsidRDefault="002214E6">
          <w:pPr>
            <w:pStyle w:val="TOC2"/>
            <w:tabs>
              <w:tab w:val="left" w:pos="1916"/>
            </w:tabs>
            <w:rPr>
              <w:rFonts w:asciiTheme="minorHAnsi" w:eastAsiaTheme="minorEastAsia" w:hAnsiTheme="minorHAnsi" w:cstheme="minorBidi"/>
              <w:kern w:val="2"/>
              <w:szCs w:val="24"/>
              <w:lang w:val="en-IE" w:eastAsia="en-IE"/>
              <w14:ligatures w14:val="standardContextual"/>
            </w:rPr>
          </w:pPr>
          <w:hyperlink w:anchor="_Toc234227827" w:history="1">
            <w:r w:rsidR="00370F6C" w:rsidRPr="00FC263E">
              <w:rPr>
                <w:rStyle w:val="Hyperlink"/>
              </w:rPr>
              <w:t>1.1.</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Context: the Foreign Subsidies Regulation and its objective</w:t>
            </w:r>
            <w:r w:rsidR="00370F6C">
              <w:rPr>
                <w:webHidden/>
              </w:rPr>
              <w:tab/>
            </w:r>
            <w:r w:rsidR="00370F6C">
              <w:rPr>
                <w:webHidden/>
              </w:rPr>
              <w:fldChar w:fldCharType="begin"/>
            </w:r>
            <w:r w:rsidR="00370F6C">
              <w:rPr>
                <w:webHidden/>
              </w:rPr>
              <w:instrText xml:space="preserve"> PAGEREF _Toc234227827 \h </w:instrText>
            </w:r>
            <w:r w:rsidR="00370F6C">
              <w:rPr>
                <w:webHidden/>
              </w:rPr>
            </w:r>
            <w:r w:rsidR="00370F6C">
              <w:rPr>
                <w:webHidden/>
              </w:rPr>
              <w:fldChar w:fldCharType="separate"/>
            </w:r>
            <w:r w:rsidR="00370F6C">
              <w:rPr>
                <w:webHidden/>
              </w:rPr>
              <w:t>6</w:t>
            </w:r>
            <w:r w:rsidR="00370F6C">
              <w:rPr>
                <w:webHidden/>
              </w:rPr>
              <w:fldChar w:fldCharType="end"/>
            </w:r>
          </w:hyperlink>
        </w:p>
        <w:p w14:paraId="0E5D7BEA" w14:textId="47398117" w:rsidR="00370F6C" w:rsidRDefault="002214E6">
          <w:pPr>
            <w:pStyle w:val="TOC2"/>
            <w:tabs>
              <w:tab w:val="left" w:pos="1916"/>
            </w:tabs>
            <w:rPr>
              <w:rFonts w:asciiTheme="minorHAnsi" w:eastAsiaTheme="minorEastAsia" w:hAnsiTheme="minorHAnsi" w:cstheme="minorBidi"/>
              <w:kern w:val="2"/>
              <w:szCs w:val="24"/>
              <w:lang w:val="en-IE" w:eastAsia="en-IE"/>
              <w14:ligatures w14:val="standardContextual"/>
            </w:rPr>
          </w:pPr>
          <w:hyperlink w:anchor="_Toc234227828" w:history="1">
            <w:r w:rsidR="00370F6C" w:rsidRPr="00FC263E">
              <w:rPr>
                <w:rStyle w:val="Hyperlink"/>
              </w:rPr>
              <w:t>1.2.</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Legal basis and purpose of the Report</w:t>
            </w:r>
            <w:r w:rsidR="00370F6C">
              <w:rPr>
                <w:webHidden/>
              </w:rPr>
              <w:tab/>
            </w:r>
            <w:r w:rsidR="00370F6C">
              <w:rPr>
                <w:webHidden/>
              </w:rPr>
              <w:fldChar w:fldCharType="begin"/>
            </w:r>
            <w:r w:rsidR="00370F6C">
              <w:rPr>
                <w:webHidden/>
              </w:rPr>
              <w:instrText xml:space="preserve"> PAGEREF _Toc234227828 \h </w:instrText>
            </w:r>
            <w:r w:rsidR="00370F6C">
              <w:rPr>
                <w:webHidden/>
              </w:rPr>
            </w:r>
            <w:r w:rsidR="00370F6C">
              <w:rPr>
                <w:webHidden/>
              </w:rPr>
              <w:fldChar w:fldCharType="separate"/>
            </w:r>
            <w:r w:rsidR="00370F6C">
              <w:rPr>
                <w:webHidden/>
              </w:rPr>
              <w:t>7</w:t>
            </w:r>
            <w:r w:rsidR="00370F6C">
              <w:rPr>
                <w:webHidden/>
              </w:rPr>
              <w:fldChar w:fldCharType="end"/>
            </w:r>
          </w:hyperlink>
        </w:p>
        <w:p w14:paraId="33678697" w14:textId="7A82F6A5" w:rsidR="00370F6C" w:rsidRDefault="002214E6">
          <w:pPr>
            <w:pStyle w:val="TOC1"/>
            <w:rPr>
              <w:rFonts w:asciiTheme="minorHAnsi" w:eastAsiaTheme="minorEastAsia" w:hAnsiTheme="minorHAnsi" w:cstheme="minorBidi"/>
              <w:noProof/>
              <w:kern w:val="2"/>
              <w:szCs w:val="24"/>
              <w:lang w:val="en-IE" w:eastAsia="en-IE"/>
              <w14:ligatures w14:val="standardContextual"/>
            </w:rPr>
          </w:pPr>
          <w:hyperlink w:anchor="_Toc234227829" w:history="1">
            <w:r w:rsidR="00370F6C" w:rsidRPr="00FC263E">
              <w:rPr>
                <w:rStyle w:val="Hyperlink"/>
                <w:noProof/>
              </w:rPr>
              <w:t>2.</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LEGISLATIVE BACKGROUND</w:t>
            </w:r>
            <w:r w:rsidR="00370F6C">
              <w:rPr>
                <w:noProof/>
                <w:webHidden/>
              </w:rPr>
              <w:tab/>
            </w:r>
            <w:r w:rsidR="00370F6C">
              <w:rPr>
                <w:noProof/>
                <w:webHidden/>
              </w:rPr>
              <w:fldChar w:fldCharType="begin"/>
            </w:r>
            <w:r w:rsidR="00370F6C">
              <w:rPr>
                <w:noProof/>
                <w:webHidden/>
              </w:rPr>
              <w:instrText xml:space="preserve"> PAGEREF _Toc234227829 \h </w:instrText>
            </w:r>
            <w:r w:rsidR="00370F6C">
              <w:rPr>
                <w:noProof/>
                <w:webHidden/>
              </w:rPr>
            </w:r>
            <w:r w:rsidR="00370F6C">
              <w:rPr>
                <w:noProof/>
                <w:webHidden/>
              </w:rPr>
              <w:fldChar w:fldCharType="separate"/>
            </w:r>
            <w:r w:rsidR="00370F6C">
              <w:rPr>
                <w:noProof/>
                <w:webHidden/>
              </w:rPr>
              <w:t>7</w:t>
            </w:r>
            <w:r w:rsidR="00370F6C">
              <w:rPr>
                <w:noProof/>
                <w:webHidden/>
              </w:rPr>
              <w:fldChar w:fldCharType="end"/>
            </w:r>
          </w:hyperlink>
        </w:p>
        <w:p w14:paraId="25A32CBE" w14:textId="78E8B6CF" w:rsidR="00370F6C" w:rsidRDefault="002214E6">
          <w:pPr>
            <w:pStyle w:val="TOC1"/>
            <w:rPr>
              <w:rFonts w:asciiTheme="minorHAnsi" w:eastAsiaTheme="minorEastAsia" w:hAnsiTheme="minorHAnsi" w:cstheme="minorBidi"/>
              <w:noProof/>
              <w:kern w:val="2"/>
              <w:szCs w:val="24"/>
              <w:lang w:val="en-IE" w:eastAsia="en-IE"/>
              <w14:ligatures w14:val="standardContextual"/>
            </w:rPr>
          </w:pPr>
          <w:hyperlink w:anchor="_Toc234227830" w:history="1">
            <w:r w:rsidR="00370F6C" w:rsidRPr="00FC263E">
              <w:rPr>
                <w:rStyle w:val="Hyperlink"/>
                <w:noProof/>
              </w:rPr>
              <w:t>3.</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CURRENT SET UP UNDER THE FSR</w:t>
            </w:r>
            <w:r w:rsidR="00370F6C">
              <w:rPr>
                <w:noProof/>
                <w:webHidden/>
              </w:rPr>
              <w:tab/>
            </w:r>
            <w:r w:rsidR="00370F6C">
              <w:rPr>
                <w:noProof/>
                <w:webHidden/>
              </w:rPr>
              <w:fldChar w:fldCharType="begin"/>
            </w:r>
            <w:r w:rsidR="00370F6C">
              <w:rPr>
                <w:noProof/>
                <w:webHidden/>
              </w:rPr>
              <w:instrText xml:space="preserve"> PAGEREF _Toc234227830 \h </w:instrText>
            </w:r>
            <w:r w:rsidR="00370F6C">
              <w:rPr>
                <w:noProof/>
                <w:webHidden/>
              </w:rPr>
            </w:r>
            <w:r w:rsidR="00370F6C">
              <w:rPr>
                <w:noProof/>
                <w:webHidden/>
              </w:rPr>
              <w:fldChar w:fldCharType="separate"/>
            </w:r>
            <w:r w:rsidR="00370F6C">
              <w:rPr>
                <w:noProof/>
                <w:webHidden/>
              </w:rPr>
              <w:t>9</w:t>
            </w:r>
            <w:r w:rsidR="00370F6C">
              <w:rPr>
                <w:noProof/>
                <w:webHidden/>
              </w:rPr>
              <w:fldChar w:fldCharType="end"/>
            </w:r>
          </w:hyperlink>
        </w:p>
        <w:p w14:paraId="7FF83F59" w14:textId="0A7F91A6" w:rsidR="00370F6C" w:rsidRDefault="002214E6">
          <w:pPr>
            <w:pStyle w:val="TOC2"/>
            <w:tabs>
              <w:tab w:val="left" w:pos="1916"/>
            </w:tabs>
            <w:rPr>
              <w:rFonts w:asciiTheme="minorHAnsi" w:eastAsiaTheme="minorEastAsia" w:hAnsiTheme="minorHAnsi" w:cstheme="minorBidi"/>
              <w:kern w:val="2"/>
              <w:szCs w:val="24"/>
              <w:lang w:val="en-IE" w:eastAsia="en-IE"/>
              <w14:ligatures w14:val="standardContextual"/>
            </w:rPr>
          </w:pPr>
          <w:hyperlink w:anchor="_Toc234227831" w:history="1">
            <w:r w:rsidR="00370F6C" w:rsidRPr="00FC263E">
              <w:rPr>
                <w:rStyle w:val="Hyperlink"/>
              </w:rPr>
              <w:t>3.1.</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Substantive concepts</w:t>
            </w:r>
            <w:r w:rsidR="00370F6C">
              <w:rPr>
                <w:webHidden/>
              </w:rPr>
              <w:tab/>
            </w:r>
            <w:r w:rsidR="00370F6C">
              <w:rPr>
                <w:webHidden/>
              </w:rPr>
              <w:fldChar w:fldCharType="begin"/>
            </w:r>
            <w:r w:rsidR="00370F6C">
              <w:rPr>
                <w:webHidden/>
              </w:rPr>
              <w:instrText xml:space="preserve"> PAGEREF _Toc234227831 \h </w:instrText>
            </w:r>
            <w:r w:rsidR="00370F6C">
              <w:rPr>
                <w:webHidden/>
              </w:rPr>
            </w:r>
            <w:r w:rsidR="00370F6C">
              <w:rPr>
                <w:webHidden/>
              </w:rPr>
              <w:fldChar w:fldCharType="separate"/>
            </w:r>
            <w:r w:rsidR="00370F6C">
              <w:rPr>
                <w:webHidden/>
              </w:rPr>
              <w:t>9</w:t>
            </w:r>
            <w:r w:rsidR="00370F6C">
              <w:rPr>
                <w:webHidden/>
              </w:rPr>
              <w:fldChar w:fldCharType="end"/>
            </w:r>
          </w:hyperlink>
        </w:p>
        <w:p w14:paraId="71A340BA" w14:textId="261E32BC"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32" w:history="1">
            <w:r w:rsidR="00370F6C" w:rsidRPr="00FC263E">
              <w:rPr>
                <w:rStyle w:val="Hyperlink"/>
                <w:noProof/>
              </w:rPr>
              <w:t>3.1.1.</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Foreign financial contributions and foreign subsidies</w:t>
            </w:r>
            <w:r w:rsidR="00370F6C">
              <w:rPr>
                <w:noProof/>
                <w:webHidden/>
              </w:rPr>
              <w:tab/>
            </w:r>
            <w:r w:rsidR="00370F6C">
              <w:rPr>
                <w:noProof/>
                <w:webHidden/>
              </w:rPr>
              <w:fldChar w:fldCharType="begin"/>
            </w:r>
            <w:r w:rsidR="00370F6C">
              <w:rPr>
                <w:noProof/>
                <w:webHidden/>
              </w:rPr>
              <w:instrText xml:space="preserve"> PAGEREF _Toc234227832 \h </w:instrText>
            </w:r>
            <w:r w:rsidR="00370F6C">
              <w:rPr>
                <w:noProof/>
                <w:webHidden/>
              </w:rPr>
            </w:r>
            <w:r w:rsidR="00370F6C">
              <w:rPr>
                <w:noProof/>
                <w:webHidden/>
              </w:rPr>
              <w:fldChar w:fldCharType="separate"/>
            </w:r>
            <w:r w:rsidR="00370F6C">
              <w:rPr>
                <w:noProof/>
                <w:webHidden/>
              </w:rPr>
              <w:t>9</w:t>
            </w:r>
            <w:r w:rsidR="00370F6C">
              <w:rPr>
                <w:noProof/>
                <w:webHidden/>
              </w:rPr>
              <w:fldChar w:fldCharType="end"/>
            </w:r>
          </w:hyperlink>
        </w:p>
        <w:p w14:paraId="1EF7021A" w14:textId="16516254"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33" w:history="1">
            <w:r w:rsidR="00370F6C" w:rsidRPr="00FC263E">
              <w:rPr>
                <w:rStyle w:val="Hyperlink"/>
                <w:noProof/>
              </w:rPr>
              <w:t>3.1.2.</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Distortion of the internal market</w:t>
            </w:r>
            <w:r w:rsidR="00370F6C">
              <w:rPr>
                <w:noProof/>
                <w:webHidden/>
              </w:rPr>
              <w:tab/>
            </w:r>
            <w:r w:rsidR="00370F6C">
              <w:rPr>
                <w:noProof/>
                <w:webHidden/>
              </w:rPr>
              <w:fldChar w:fldCharType="begin"/>
            </w:r>
            <w:r w:rsidR="00370F6C">
              <w:rPr>
                <w:noProof/>
                <w:webHidden/>
              </w:rPr>
              <w:instrText xml:space="preserve"> PAGEREF _Toc234227833 \h </w:instrText>
            </w:r>
            <w:r w:rsidR="00370F6C">
              <w:rPr>
                <w:noProof/>
                <w:webHidden/>
              </w:rPr>
            </w:r>
            <w:r w:rsidR="00370F6C">
              <w:rPr>
                <w:noProof/>
                <w:webHidden/>
              </w:rPr>
              <w:fldChar w:fldCharType="separate"/>
            </w:r>
            <w:r w:rsidR="00370F6C">
              <w:rPr>
                <w:noProof/>
                <w:webHidden/>
              </w:rPr>
              <w:t>9</w:t>
            </w:r>
            <w:r w:rsidR="00370F6C">
              <w:rPr>
                <w:noProof/>
                <w:webHidden/>
              </w:rPr>
              <w:fldChar w:fldCharType="end"/>
            </w:r>
          </w:hyperlink>
        </w:p>
        <w:p w14:paraId="051873E5" w14:textId="70EDB11C"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34" w:history="1">
            <w:r w:rsidR="00370F6C" w:rsidRPr="00FC263E">
              <w:rPr>
                <w:rStyle w:val="Hyperlink"/>
                <w:noProof/>
              </w:rPr>
              <w:t>3.1.3.</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Balancing test</w:t>
            </w:r>
            <w:r w:rsidR="00370F6C">
              <w:rPr>
                <w:noProof/>
                <w:webHidden/>
              </w:rPr>
              <w:tab/>
            </w:r>
            <w:r w:rsidR="00370F6C">
              <w:rPr>
                <w:noProof/>
                <w:webHidden/>
              </w:rPr>
              <w:fldChar w:fldCharType="begin"/>
            </w:r>
            <w:r w:rsidR="00370F6C">
              <w:rPr>
                <w:noProof/>
                <w:webHidden/>
              </w:rPr>
              <w:instrText xml:space="preserve"> PAGEREF _Toc234227834 \h </w:instrText>
            </w:r>
            <w:r w:rsidR="00370F6C">
              <w:rPr>
                <w:noProof/>
                <w:webHidden/>
              </w:rPr>
            </w:r>
            <w:r w:rsidR="00370F6C">
              <w:rPr>
                <w:noProof/>
                <w:webHidden/>
              </w:rPr>
              <w:fldChar w:fldCharType="separate"/>
            </w:r>
            <w:r w:rsidR="00370F6C">
              <w:rPr>
                <w:noProof/>
                <w:webHidden/>
              </w:rPr>
              <w:t>10</w:t>
            </w:r>
            <w:r w:rsidR="00370F6C">
              <w:rPr>
                <w:noProof/>
                <w:webHidden/>
              </w:rPr>
              <w:fldChar w:fldCharType="end"/>
            </w:r>
          </w:hyperlink>
        </w:p>
        <w:p w14:paraId="1622C081" w14:textId="32839E17" w:rsidR="00370F6C" w:rsidRDefault="002214E6">
          <w:pPr>
            <w:pStyle w:val="TOC2"/>
            <w:tabs>
              <w:tab w:val="left" w:pos="1916"/>
            </w:tabs>
            <w:rPr>
              <w:rFonts w:asciiTheme="minorHAnsi" w:eastAsiaTheme="minorEastAsia" w:hAnsiTheme="minorHAnsi" w:cstheme="minorBidi"/>
              <w:kern w:val="2"/>
              <w:szCs w:val="24"/>
              <w:lang w:val="en-IE" w:eastAsia="en-IE"/>
              <w14:ligatures w14:val="standardContextual"/>
            </w:rPr>
          </w:pPr>
          <w:hyperlink w:anchor="_Toc234227835" w:history="1">
            <w:r w:rsidR="00370F6C" w:rsidRPr="00FC263E">
              <w:rPr>
                <w:rStyle w:val="Hyperlink"/>
              </w:rPr>
              <w:t>3.2.</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Enforcement procedures</w:t>
            </w:r>
            <w:r w:rsidR="00370F6C">
              <w:rPr>
                <w:webHidden/>
              </w:rPr>
              <w:tab/>
            </w:r>
            <w:r w:rsidR="00370F6C">
              <w:rPr>
                <w:webHidden/>
              </w:rPr>
              <w:fldChar w:fldCharType="begin"/>
            </w:r>
            <w:r w:rsidR="00370F6C">
              <w:rPr>
                <w:webHidden/>
              </w:rPr>
              <w:instrText xml:space="preserve"> PAGEREF _Toc234227835 \h </w:instrText>
            </w:r>
            <w:r w:rsidR="00370F6C">
              <w:rPr>
                <w:webHidden/>
              </w:rPr>
            </w:r>
            <w:r w:rsidR="00370F6C">
              <w:rPr>
                <w:webHidden/>
              </w:rPr>
              <w:fldChar w:fldCharType="separate"/>
            </w:r>
            <w:r w:rsidR="00370F6C">
              <w:rPr>
                <w:webHidden/>
              </w:rPr>
              <w:t>10</w:t>
            </w:r>
            <w:r w:rsidR="00370F6C">
              <w:rPr>
                <w:webHidden/>
              </w:rPr>
              <w:fldChar w:fldCharType="end"/>
            </w:r>
          </w:hyperlink>
        </w:p>
        <w:p w14:paraId="4E3FE410" w14:textId="0FA1783B"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36" w:history="1">
            <w:r w:rsidR="00370F6C" w:rsidRPr="00FC263E">
              <w:rPr>
                <w:rStyle w:val="Hyperlink"/>
                <w:noProof/>
              </w:rPr>
              <w:t>3.2.1.</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Ex officio review (Article 9 FSR)</w:t>
            </w:r>
            <w:r w:rsidR="00370F6C">
              <w:rPr>
                <w:noProof/>
                <w:webHidden/>
              </w:rPr>
              <w:tab/>
            </w:r>
            <w:r w:rsidR="00370F6C">
              <w:rPr>
                <w:noProof/>
                <w:webHidden/>
              </w:rPr>
              <w:fldChar w:fldCharType="begin"/>
            </w:r>
            <w:r w:rsidR="00370F6C">
              <w:rPr>
                <w:noProof/>
                <w:webHidden/>
              </w:rPr>
              <w:instrText xml:space="preserve"> PAGEREF _Toc234227836 \h </w:instrText>
            </w:r>
            <w:r w:rsidR="00370F6C">
              <w:rPr>
                <w:noProof/>
                <w:webHidden/>
              </w:rPr>
            </w:r>
            <w:r w:rsidR="00370F6C">
              <w:rPr>
                <w:noProof/>
                <w:webHidden/>
              </w:rPr>
              <w:fldChar w:fldCharType="separate"/>
            </w:r>
            <w:r w:rsidR="00370F6C">
              <w:rPr>
                <w:noProof/>
                <w:webHidden/>
              </w:rPr>
              <w:t>11</w:t>
            </w:r>
            <w:r w:rsidR="00370F6C">
              <w:rPr>
                <w:noProof/>
                <w:webHidden/>
              </w:rPr>
              <w:fldChar w:fldCharType="end"/>
            </w:r>
          </w:hyperlink>
        </w:p>
        <w:p w14:paraId="041D136E" w14:textId="293706CD"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37" w:history="1">
            <w:r w:rsidR="00370F6C" w:rsidRPr="00FC263E">
              <w:rPr>
                <w:rStyle w:val="Hyperlink"/>
                <w:noProof/>
                <w:lang w:val="fr-FR"/>
              </w:rPr>
              <w:t>3.2.2.</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lang w:val="fr-FR"/>
              </w:rPr>
              <w:t xml:space="preserve">Ex ante </w:t>
            </w:r>
            <w:r w:rsidR="00370F6C" w:rsidRPr="00FC263E">
              <w:rPr>
                <w:rStyle w:val="Hyperlink"/>
                <w:noProof/>
                <w:lang w:val="fr-BE"/>
              </w:rPr>
              <w:t>notification</w:t>
            </w:r>
            <w:r w:rsidR="00370F6C" w:rsidRPr="00FC263E">
              <w:rPr>
                <w:rStyle w:val="Hyperlink"/>
                <w:noProof/>
                <w:lang w:val="fr-FR"/>
              </w:rPr>
              <w:t xml:space="preserve"> of concentrations (Chapter 3 FSR)</w:t>
            </w:r>
            <w:r w:rsidR="00370F6C">
              <w:rPr>
                <w:noProof/>
                <w:webHidden/>
              </w:rPr>
              <w:tab/>
            </w:r>
            <w:r w:rsidR="00370F6C">
              <w:rPr>
                <w:noProof/>
                <w:webHidden/>
              </w:rPr>
              <w:fldChar w:fldCharType="begin"/>
            </w:r>
            <w:r w:rsidR="00370F6C">
              <w:rPr>
                <w:noProof/>
                <w:webHidden/>
              </w:rPr>
              <w:instrText xml:space="preserve"> PAGEREF _Toc234227837 \h </w:instrText>
            </w:r>
            <w:r w:rsidR="00370F6C">
              <w:rPr>
                <w:noProof/>
                <w:webHidden/>
              </w:rPr>
            </w:r>
            <w:r w:rsidR="00370F6C">
              <w:rPr>
                <w:noProof/>
                <w:webHidden/>
              </w:rPr>
              <w:fldChar w:fldCharType="separate"/>
            </w:r>
            <w:r w:rsidR="00370F6C">
              <w:rPr>
                <w:noProof/>
                <w:webHidden/>
              </w:rPr>
              <w:t>11</w:t>
            </w:r>
            <w:r w:rsidR="00370F6C">
              <w:rPr>
                <w:noProof/>
                <w:webHidden/>
              </w:rPr>
              <w:fldChar w:fldCharType="end"/>
            </w:r>
          </w:hyperlink>
        </w:p>
        <w:p w14:paraId="6A7F1FBA" w14:textId="620A8A7B"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38" w:history="1">
            <w:r w:rsidR="00370F6C" w:rsidRPr="00FC263E">
              <w:rPr>
                <w:rStyle w:val="Hyperlink"/>
                <w:noProof/>
                <w:lang w:val="fr-FR"/>
              </w:rPr>
              <w:t>3.2.3.</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lang w:val="fr-FR"/>
              </w:rPr>
              <w:t>Ex ante notification in public procurement procedures (Chapter 4 FSR)</w:t>
            </w:r>
            <w:r w:rsidR="00370F6C">
              <w:rPr>
                <w:noProof/>
                <w:webHidden/>
              </w:rPr>
              <w:tab/>
            </w:r>
            <w:r w:rsidR="00370F6C">
              <w:rPr>
                <w:noProof/>
                <w:webHidden/>
              </w:rPr>
              <w:fldChar w:fldCharType="begin"/>
            </w:r>
            <w:r w:rsidR="00370F6C">
              <w:rPr>
                <w:noProof/>
                <w:webHidden/>
              </w:rPr>
              <w:instrText xml:space="preserve"> PAGEREF _Toc234227838 \h </w:instrText>
            </w:r>
            <w:r w:rsidR="00370F6C">
              <w:rPr>
                <w:noProof/>
                <w:webHidden/>
              </w:rPr>
            </w:r>
            <w:r w:rsidR="00370F6C">
              <w:rPr>
                <w:noProof/>
                <w:webHidden/>
              </w:rPr>
              <w:fldChar w:fldCharType="separate"/>
            </w:r>
            <w:r w:rsidR="00370F6C">
              <w:rPr>
                <w:noProof/>
                <w:webHidden/>
              </w:rPr>
              <w:t>12</w:t>
            </w:r>
            <w:r w:rsidR="00370F6C">
              <w:rPr>
                <w:noProof/>
                <w:webHidden/>
              </w:rPr>
              <w:fldChar w:fldCharType="end"/>
            </w:r>
          </w:hyperlink>
        </w:p>
        <w:p w14:paraId="29F10853" w14:textId="55E2BF7C"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39" w:history="1">
            <w:r w:rsidR="00370F6C" w:rsidRPr="00FC263E">
              <w:rPr>
                <w:rStyle w:val="Hyperlink"/>
                <w:noProof/>
              </w:rPr>
              <w:t>3.2.4.</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Possibility to request prior notification</w:t>
            </w:r>
            <w:r w:rsidR="00370F6C">
              <w:rPr>
                <w:noProof/>
                <w:webHidden/>
              </w:rPr>
              <w:tab/>
            </w:r>
            <w:r w:rsidR="00370F6C">
              <w:rPr>
                <w:noProof/>
                <w:webHidden/>
              </w:rPr>
              <w:fldChar w:fldCharType="begin"/>
            </w:r>
            <w:r w:rsidR="00370F6C">
              <w:rPr>
                <w:noProof/>
                <w:webHidden/>
              </w:rPr>
              <w:instrText xml:space="preserve"> PAGEREF _Toc234227839 \h </w:instrText>
            </w:r>
            <w:r w:rsidR="00370F6C">
              <w:rPr>
                <w:noProof/>
                <w:webHidden/>
              </w:rPr>
            </w:r>
            <w:r w:rsidR="00370F6C">
              <w:rPr>
                <w:noProof/>
                <w:webHidden/>
              </w:rPr>
              <w:fldChar w:fldCharType="separate"/>
            </w:r>
            <w:r w:rsidR="00370F6C">
              <w:rPr>
                <w:noProof/>
                <w:webHidden/>
              </w:rPr>
              <w:t>14</w:t>
            </w:r>
            <w:r w:rsidR="00370F6C">
              <w:rPr>
                <w:noProof/>
                <w:webHidden/>
              </w:rPr>
              <w:fldChar w:fldCharType="end"/>
            </w:r>
          </w:hyperlink>
        </w:p>
        <w:p w14:paraId="1ED92542" w14:textId="7738004A"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40" w:history="1">
            <w:r w:rsidR="00370F6C" w:rsidRPr="00FC263E">
              <w:rPr>
                <w:rStyle w:val="Hyperlink"/>
                <w:noProof/>
              </w:rPr>
              <w:t>3.2.5.</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Sources of information and market investigations</w:t>
            </w:r>
            <w:r w:rsidR="00370F6C">
              <w:rPr>
                <w:noProof/>
                <w:webHidden/>
              </w:rPr>
              <w:tab/>
            </w:r>
            <w:r w:rsidR="00370F6C">
              <w:rPr>
                <w:noProof/>
                <w:webHidden/>
              </w:rPr>
              <w:fldChar w:fldCharType="begin"/>
            </w:r>
            <w:r w:rsidR="00370F6C">
              <w:rPr>
                <w:noProof/>
                <w:webHidden/>
              </w:rPr>
              <w:instrText xml:space="preserve"> PAGEREF _Toc234227840 \h </w:instrText>
            </w:r>
            <w:r w:rsidR="00370F6C">
              <w:rPr>
                <w:noProof/>
                <w:webHidden/>
              </w:rPr>
            </w:r>
            <w:r w:rsidR="00370F6C">
              <w:rPr>
                <w:noProof/>
                <w:webHidden/>
              </w:rPr>
              <w:fldChar w:fldCharType="separate"/>
            </w:r>
            <w:r w:rsidR="00370F6C">
              <w:rPr>
                <w:noProof/>
                <w:webHidden/>
              </w:rPr>
              <w:t>14</w:t>
            </w:r>
            <w:r w:rsidR="00370F6C">
              <w:rPr>
                <w:noProof/>
                <w:webHidden/>
              </w:rPr>
              <w:fldChar w:fldCharType="end"/>
            </w:r>
          </w:hyperlink>
        </w:p>
        <w:p w14:paraId="0B7704EF" w14:textId="770A9191" w:rsidR="00370F6C" w:rsidRDefault="002214E6">
          <w:pPr>
            <w:pStyle w:val="TOC2"/>
            <w:tabs>
              <w:tab w:val="left" w:pos="1916"/>
            </w:tabs>
            <w:rPr>
              <w:rFonts w:asciiTheme="minorHAnsi" w:eastAsiaTheme="minorEastAsia" w:hAnsiTheme="minorHAnsi" w:cstheme="minorBidi"/>
              <w:kern w:val="2"/>
              <w:szCs w:val="24"/>
              <w:lang w:val="en-IE" w:eastAsia="en-IE"/>
              <w14:ligatures w14:val="standardContextual"/>
            </w:rPr>
          </w:pPr>
          <w:hyperlink w:anchor="_Toc234227841" w:history="1">
            <w:r w:rsidR="00370F6C" w:rsidRPr="00FC263E">
              <w:rPr>
                <w:rStyle w:val="Hyperlink"/>
              </w:rPr>
              <w:t>3.3.</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Division of responsibilities between DG COMP and DG GROW</w:t>
            </w:r>
            <w:r w:rsidR="00370F6C">
              <w:rPr>
                <w:webHidden/>
              </w:rPr>
              <w:tab/>
            </w:r>
            <w:r w:rsidR="00370F6C">
              <w:rPr>
                <w:webHidden/>
              </w:rPr>
              <w:fldChar w:fldCharType="begin"/>
            </w:r>
            <w:r w:rsidR="00370F6C">
              <w:rPr>
                <w:webHidden/>
              </w:rPr>
              <w:instrText xml:space="preserve"> PAGEREF _Toc234227841 \h </w:instrText>
            </w:r>
            <w:r w:rsidR="00370F6C">
              <w:rPr>
                <w:webHidden/>
              </w:rPr>
            </w:r>
            <w:r w:rsidR="00370F6C">
              <w:rPr>
                <w:webHidden/>
              </w:rPr>
              <w:fldChar w:fldCharType="separate"/>
            </w:r>
            <w:r w:rsidR="00370F6C">
              <w:rPr>
                <w:webHidden/>
              </w:rPr>
              <w:t>14</w:t>
            </w:r>
            <w:r w:rsidR="00370F6C">
              <w:rPr>
                <w:webHidden/>
              </w:rPr>
              <w:fldChar w:fldCharType="end"/>
            </w:r>
          </w:hyperlink>
        </w:p>
        <w:p w14:paraId="700501E3" w14:textId="10932224" w:rsidR="00370F6C" w:rsidRDefault="002214E6">
          <w:pPr>
            <w:pStyle w:val="TOC2"/>
            <w:tabs>
              <w:tab w:val="left" w:pos="1916"/>
            </w:tabs>
            <w:rPr>
              <w:rFonts w:asciiTheme="minorHAnsi" w:eastAsiaTheme="minorEastAsia" w:hAnsiTheme="minorHAnsi" w:cstheme="minorBidi"/>
              <w:kern w:val="2"/>
              <w:szCs w:val="24"/>
              <w:lang w:val="en-IE" w:eastAsia="en-IE"/>
              <w14:ligatures w14:val="standardContextual"/>
            </w:rPr>
          </w:pPr>
          <w:hyperlink w:anchor="_Toc234227842" w:history="1">
            <w:r w:rsidR="00370F6C" w:rsidRPr="00FC263E">
              <w:rPr>
                <w:rStyle w:val="Hyperlink"/>
              </w:rPr>
              <w:t>3.4.</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Interactions with other instruments</w:t>
            </w:r>
            <w:r w:rsidR="00370F6C">
              <w:rPr>
                <w:webHidden/>
              </w:rPr>
              <w:tab/>
            </w:r>
            <w:r w:rsidR="00370F6C">
              <w:rPr>
                <w:webHidden/>
              </w:rPr>
              <w:fldChar w:fldCharType="begin"/>
            </w:r>
            <w:r w:rsidR="00370F6C">
              <w:rPr>
                <w:webHidden/>
              </w:rPr>
              <w:instrText xml:space="preserve"> PAGEREF _Toc234227842 \h </w:instrText>
            </w:r>
            <w:r w:rsidR="00370F6C">
              <w:rPr>
                <w:webHidden/>
              </w:rPr>
            </w:r>
            <w:r w:rsidR="00370F6C">
              <w:rPr>
                <w:webHidden/>
              </w:rPr>
              <w:fldChar w:fldCharType="separate"/>
            </w:r>
            <w:r w:rsidR="00370F6C">
              <w:rPr>
                <w:webHidden/>
              </w:rPr>
              <w:t>15</w:t>
            </w:r>
            <w:r w:rsidR="00370F6C">
              <w:rPr>
                <w:webHidden/>
              </w:rPr>
              <w:fldChar w:fldCharType="end"/>
            </w:r>
          </w:hyperlink>
        </w:p>
        <w:p w14:paraId="0B266318" w14:textId="2587D95C"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43" w:history="1">
            <w:r w:rsidR="00370F6C" w:rsidRPr="00FC263E">
              <w:rPr>
                <w:rStyle w:val="Hyperlink"/>
                <w:noProof/>
              </w:rPr>
              <w:t>3.4.1.</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Interaction with the EUMR</w:t>
            </w:r>
            <w:r w:rsidR="00370F6C">
              <w:rPr>
                <w:noProof/>
                <w:webHidden/>
              </w:rPr>
              <w:tab/>
            </w:r>
            <w:r w:rsidR="00370F6C">
              <w:rPr>
                <w:noProof/>
                <w:webHidden/>
              </w:rPr>
              <w:fldChar w:fldCharType="begin"/>
            </w:r>
            <w:r w:rsidR="00370F6C">
              <w:rPr>
                <w:noProof/>
                <w:webHidden/>
              </w:rPr>
              <w:instrText xml:space="preserve"> PAGEREF _Toc234227843 \h </w:instrText>
            </w:r>
            <w:r w:rsidR="00370F6C">
              <w:rPr>
                <w:noProof/>
                <w:webHidden/>
              </w:rPr>
            </w:r>
            <w:r w:rsidR="00370F6C">
              <w:rPr>
                <w:noProof/>
                <w:webHidden/>
              </w:rPr>
              <w:fldChar w:fldCharType="separate"/>
            </w:r>
            <w:r w:rsidR="00370F6C">
              <w:rPr>
                <w:noProof/>
                <w:webHidden/>
              </w:rPr>
              <w:t>15</w:t>
            </w:r>
            <w:r w:rsidR="00370F6C">
              <w:rPr>
                <w:noProof/>
                <w:webHidden/>
              </w:rPr>
              <w:fldChar w:fldCharType="end"/>
            </w:r>
          </w:hyperlink>
        </w:p>
        <w:p w14:paraId="5AB44C7C" w14:textId="0D28A9D1"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44" w:history="1">
            <w:r w:rsidR="00370F6C" w:rsidRPr="00FC263E">
              <w:rPr>
                <w:rStyle w:val="Hyperlink"/>
                <w:noProof/>
              </w:rPr>
              <w:t>3.4.2.</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Interaction with the framework set up by the FDI Screening Regulation</w:t>
            </w:r>
            <w:r w:rsidR="00370F6C">
              <w:rPr>
                <w:noProof/>
                <w:webHidden/>
              </w:rPr>
              <w:tab/>
            </w:r>
            <w:r w:rsidR="00370F6C">
              <w:rPr>
                <w:noProof/>
                <w:webHidden/>
              </w:rPr>
              <w:fldChar w:fldCharType="begin"/>
            </w:r>
            <w:r w:rsidR="00370F6C">
              <w:rPr>
                <w:noProof/>
                <w:webHidden/>
              </w:rPr>
              <w:instrText xml:space="preserve"> PAGEREF _Toc234227844 \h </w:instrText>
            </w:r>
            <w:r w:rsidR="00370F6C">
              <w:rPr>
                <w:noProof/>
                <w:webHidden/>
              </w:rPr>
            </w:r>
            <w:r w:rsidR="00370F6C">
              <w:rPr>
                <w:noProof/>
                <w:webHidden/>
              </w:rPr>
              <w:fldChar w:fldCharType="separate"/>
            </w:r>
            <w:r w:rsidR="00370F6C">
              <w:rPr>
                <w:noProof/>
                <w:webHidden/>
              </w:rPr>
              <w:t>16</w:t>
            </w:r>
            <w:r w:rsidR="00370F6C">
              <w:rPr>
                <w:noProof/>
                <w:webHidden/>
              </w:rPr>
              <w:fldChar w:fldCharType="end"/>
            </w:r>
          </w:hyperlink>
        </w:p>
        <w:p w14:paraId="51E716CC" w14:textId="71AC988E"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45" w:history="1">
            <w:r w:rsidR="00370F6C" w:rsidRPr="00FC263E">
              <w:rPr>
                <w:rStyle w:val="Hyperlink"/>
                <w:noProof/>
              </w:rPr>
              <w:t>3.4.3.</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Interaction with the Public Procurement Directives</w:t>
            </w:r>
            <w:r w:rsidR="00370F6C">
              <w:rPr>
                <w:noProof/>
                <w:webHidden/>
              </w:rPr>
              <w:tab/>
            </w:r>
            <w:r w:rsidR="00370F6C">
              <w:rPr>
                <w:noProof/>
                <w:webHidden/>
              </w:rPr>
              <w:fldChar w:fldCharType="begin"/>
            </w:r>
            <w:r w:rsidR="00370F6C">
              <w:rPr>
                <w:noProof/>
                <w:webHidden/>
              </w:rPr>
              <w:instrText xml:space="preserve"> PAGEREF _Toc234227845 \h </w:instrText>
            </w:r>
            <w:r w:rsidR="00370F6C">
              <w:rPr>
                <w:noProof/>
                <w:webHidden/>
              </w:rPr>
            </w:r>
            <w:r w:rsidR="00370F6C">
              <w:rPr>
                <w:noProof/>
                <w:webHidden/>
              </w:rPr>
              <w:fldChar w:fldCharType="separate"/>
            </w:r>
            <w:r w:rsidR="00370F6C">
              <w:rPr>
                <w:noProof/>
                <w:webHidden/>
              </w:rPr>
              <w:t>16</w:t>
            </w:r>
            <w:r w:rsidR="00370F6C">
              <w:rPr>
                <w:noProof/>
                <w:webHidden/>
              </w:rPr>
              <w:fldChar w:fldCharType="end"/>
            </w:r>
          </w:hyperlink>
        </w:p>
        <w:p w14:paraId="29628393" w14:textId="20DBC608" w:rsidR="00370F6C" w:rsidRDefault="002214E6">
          <w:pPr>
            <w:pStyle w:val="TOC1"/>
            <w:rPr>
              <w:rFonts w:asciiTheme="minorHAnsi" w:eastAsiaTheme="minorEastAsia" w:hAnsiTheme="minorHAnsi" w:cstheme="minorBidi"/>
              <w:noProof/>
              <w:kern w:val="2"/>
              <w:szCs w:val="24"/>
              <w:lang w:val="en-IE" w:eastAsia="en-IE"/>
              <w14:ligatures w14:val="standardContextual"/>
            </w:rPr>
          </w:pPr>
          <w:hyperlink w:anchor="_Toc234227846" w:history="1">
            <w:r w:rsidR="00370F6C" w:rsidRPr="00FC263E">
              <w:rPr>
                <w:rStyle w:val="Hyperlink"/>
                <w:noProof/>
              </w:rPr>
              <w:t>4.</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PREPARATION OF THE REPORT</w:t>
            </w:r>
            <w:r w:rsidR="00370F6C">
              <w:rPr>
                <w:noProof/>
                <w:webHidden/>
              </w:rPr>
              <w:tab/>
            </w:r>
            <w:r w:rsidR="00370F6C">
              <w:rPr>
                <w:noProof/>
                <w:webHidden/>
              </w:rPr>
              <w:fldChar w:fldCharType="begin"/>
            </w:r>
            <w:r w:rsidR="00370F6C">
              <w:rPr>
                <w:noProof/>
                <w:webHidden/>
              </w:rPr>
              <w:instrText xml:space="preserve"> PAGEREF _Toc234227846 \h </w:instrText>
            </w:r>
            <w:r w:rsidR="00370F6C">
              <w:rPr>
                <w:noProof/>
                <w:webHidden/>
              </w:rPr>
            </w:r>
            <w:r w:rsidR="00370F6C">
              <w:rPr>
                <w:noProof/>
                <w:webHidden/>
              </w:rPr>
              <w:fldChar w:fldCharType="separate"/>
            </w:r>
            <w:r w:rsidR="00370F6C">
              <w:rPr>
                <w:noProof/>
                <w:webHidden/>
              </w:rPr>
              <w:t>17</w:t>
            </w:r>
            <w:r w:rsidR="00370F6C">
              <w:rPr>
                <w:noProof/>
                <w:webHidden/>
              </w:rPr>
              <w:fldChar w:fldCharType="end"/>
            </w:r>
          </w:hyperlink>
        </w:p>
        <w:p w14:paraId="435E74B8" w14:textId="475621C8" w:rsidR="00370F6C" w:rsidRDefault="002214E6">
          <w:pPr>
            <w:pStyle w:val="TOC2"/>
            <w:tabs>
              <w:tab w:val="left" w:pos="1916"/>
            </w:tabs>
            <w:rPr>
              <w:rFonts w:asciiTheme="minorHAnsi" w:eastAsiaTheme="minorEastAsia" w:hAnsiTheme="minorHAnsi" w:cstheme="minorBidi"/>
              <w:kern w:val="2"/>
              <w:szCs w:val="24"/>
              <w:lang w:val="en-IE" w:eastAsia="en-IE"/>
              <w14:ligatures w14:val="standardContextual"/>
            </w:rPr>
          </w:pPr>
          <w:hyperlink w:anchor="_Toc234227847" w:history="1">
            <w:r w:rsidR="00370F6C" w:rsidRPr="00FC263E">
              <w:rPr>
                <w:rStyle w:val="Hyperlink"/>
              </w:rPr>
              <w:t>4.1.</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Sources of information and workstreams</w:t>
            </w:r>
            <w:r w:rsidR="00370F6C">
              <w:rPr>
                <w:webHidden/>
              </w:rPr>
              <w:tab/>
            </w:r>
            <w:r w:rsidR="00370F6C">
              <w:rPr>
                <w:webHidden/>
              </w:rPr>
              <w:fldChar w:fldCharType="begin"/>
            </w:r>
            <w:r w:rsidR="00370F6C">
              <w:rPr>
                <w:webHidden/>
              </w:rPr>
              <w:instrText xml:space="preserve"> PAGEREF _Toc234227847 \h </w:instrText>
            </w:r>
            <w:r w:rsidR="00370F6C">
              <w:rPr>
                <w:webHidden/>
              </w:rPr>
            </w:r>
            <w:r w:rsidR="00370F6C">
              <w:rPr>
                <w:webHidden/>
              </w:rPr>
              <w:fldChar w:fldCharType="separate"/>
            </w:r>
            <w:r w:rsidR="00370F6C">
              <w:rPr>
                <w:webHidden/>
              </w:rPr>
              <w:t>17</w:t>
            </w:r>
            <w:r w:rsidR="00370F6C">
              <w:rPr>
                <w:webHidden/>
              </w:rPr>
              <w:fldChar w:fldCharType="end"/>
            </w:r>
          </w:hyperlink>
        </w:p>
        <w:p w14:paraId="19B09A47" w14:textId="0D5866FE" w:rsidR="00370F6C" w:rsidRDefault="002214E6">
          <w:pPr>
            <w:pStyle w:val="TOC2"/>
            <w:tabs>
              <w:tab w:val="left" w:pos="1916"/>
            </w:tabs>
            <w:rPr>
              <w:rFonts w:asciiTheme="minorHAnsi" w:eastAsiaTheme="minorEastAsia" w:hAnsiTheme="minorHAnsi" w:cstheme="minorBidi"/>
              <w:kern w:val="2"/>
              <w:szCs w:val="24"/>
              <w:lang w:val="en-IE" w:eastAsia="en-IE"/>
              <w14:ligatures w14:val="standardContextual"/>
            </w:rPr>
          </w:pPr>
          <w:hyperlink w:anchor="_Toc234227848" w:history="1">
            <w:r w:rsidR="00370F6C" w:rsidRPr="00FC263E">
              <w:rPr>
                <w:rStyle w:val="Hyperlink"/>
              </w:rPr>
              <w:t>4.2.</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Scope and methodology of the review</w:t>
            </w:r>
            <w:r w:rsidR="00370F6C">
              <w:rPr>
                <w:webHidden/>
              </w:rPr>
              <w:tab/>
            </w:r>
            <w:r w:rsidR="00370F6C">
              <w:rPr>
                <w:webHidden/>
              </w:rPr>
              <w:fldChar w:fldCharType="begin"/>
            </w:r>
            <w:r w:rsidR="00370F6C">
              <w:rPr>
                <w:webHidden/>
              </w:rPr>
              <w:instrText xml:space="preserve"> PAGEREF _Toc234227848 \h </w:instrText>
            </w:r>
            <w:r w:rsidR="00370F6C">
              <w:rPr>
                <w:webHidden/>
              </w:rPr>
            </w:r>
            <w:r w:rsidR="00370F6C">
              <w:rPr>
                <w:webHidden/>
              </w:rPr>
              <w:fldChar w:fldCharType="separate"/>
            </w:r>
            <w:r w:rsidR="00370F6C">
              <w:rPr>
                <w:webHidden/>
              </w:rPr>
              <w:t>17</w:t>
            </w:r>
            <w:r w:rsidR="00370F6C">
              <w:rPr>
                <w:webHidden/>
              </w:rPr>
              <w:fldChar w:fldCharType="end"/>
            </w:r>
          </w:hyperlink>
        </w:p>
        <w:p w14:paraId="271B4AB2" w14:textId="5E259A34"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49" w:history="1">
            <w:r w:rsidR="00370F6C" w:rsidRPr="00FC263E">
              <w:rPr>
                <w:rStyle w:val="Hyperlink"/>
                <w:noProof/>
              </w:rPr>
              <w:t>4.2.1.</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The FSR Review Study</w:t>
            </w:r>
            <w:r w:rsidR="00370F6C">
              <w:rPr>
                <w:noProof/>
                <w:webHidden/>
              </w:rPr>
              <w:tab/>
            </w:r>
            <w:r w:rsidR="00370F6C">
              <w:rPr>
                <w:noProof/>
                <w:webHidden/>
              </w:rPr>
              <w:fldChar w:fldCharType="begin"/>
            </w:r>
            <w:r w:rsidR="00370F6C">
              <w:rPr>
                <w:noProof/>
                <w:webHidden/>
              </w:rPr>
              <w:instrText xml:space="preserve"> PAGEREF _Toc234227849 \h </w:instrText>
            </w:r>
            <w:r w:rsidR="00370F6C">
              <w:rPr>
                <w:noProof/>
                <w:webHidden/>
              </w:rPr>
            </w:r>
            <w:r w:rsidR="00370F6C">
              <w:rPr>
                <w:noProof/>
                <w:webHidden/>
              </w:rPr>
              <w:fldChar w:fldCharType="separate"/>
            </w:r>
            <w:r w:rsidR="00370F6C">
              <w:rPr>
                <w:noProof/>
                <w:webHidden/>
              </w:rPr>
              <w:t>17</w:t>
            </w:r>
            <w:r w:rsidR="00370F6C">
              <w:rPr>
                <w:noProof/>
                <w:webHidden/>
              </w:rPr>
              <w:fldChar w:fldCharType="end"/>
            </w:r>
          </w:hyperlink>
        </w:p>
        <w:p w14:paraId="5D0D4B48" w14:textId="191B145F"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50" w:history="1">
            <w:r w:rsidR="00370F6C" w:rsidRPr="00FC263E">
              <w:rPr>
                <w:rStyle w:val="Hyperlink"/>
                <w:noProof/>
              </w:rPr>
              <w:t>4.2.2.</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The FSR Review Public Consultation</w:t>
            </w:r>
            <w:r w:rsidR="00370F6C">
              <w:rPr>
                <w:noProof/>
                <w:webHidden/>
              </w:rPr>
              <w:tab/>
            </w:r>
            <w:r w:rsidR="00370F6C">
              <w:rPr>
                <w:noProof/>
                <w:webHidden/>
              </w:rPr>
              <w:fldChar w:fldCharType="begin"/>
            </w:r>
            <w:r w:rsidR="00370F6C">
              <w:rPr>
                <w:noProof/>
                <w:webHidden/>
              </w:rPr>
              <w:instrText xml:space="preserve"> PAGEREF _Toc234227850 \h </w:instrText>
            </w:r>
            <w:r w:rsidR="00370F6C">
              <w:rPr>
                <w:noProof/>
                <w:webHidden/>
              </w:rPr>
            </w:r>
            <w:r w:rsidR="00370F6C">
              <w:rPr>
                <w:noProof/>
                <w:webHidden/>
              </w:rPr>
              <w:fldChar w:fldCharType="separate"/>
            </w:r>
            <w:r w:rsidR="00370F6C">
              <w:rPr>
                <w:noProof/>
                <w:webHidden/>
              </w:rPr>
              <w:t>18</w:t>
            </w:r>
            <w:r w:rsidR="00370F6C">
              <w:rPr>
                <w:noProof/>
                <w:webHidden/>
              </w:rPr>
              <w:fldChar w:fldCharType="end"/>
            </w:r>
          </w:hyperlink>
        </w:p>
        <w:p w14:paraId="620DE0F8" w14:textId="15ACC95E"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51" w:history="1">
            <w:r w:rsidR="00370F6C" w:rsidRPr="00FC263E">
              <w:rPr>
                <w:rStyle w:val="Hyperlink"/>
                <w:noProof/>
              </w:rPr>
              <w:t>4.2.3.</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Commission’s internal FSR review</w:t>
            </w:r>
            <w:r w:rsidR="00370F6C">
              <w:rPr>
                <w:noProof/>
                <w:webHidden/>
              </w:rPr>
              <w:tab/>
            </w:r>
            <w:r w:rsidR="00370F6C">
              <w:rPr>
                <w:noProof/>
                <w:webHidden/>
              </w:rPr>
              <w:fldChar w:fldCharType="begin"/>
            </w:r>
            <w:r w:rsidR="00370F6C">
              <w:rPr>
                <w:noProof/>
                <w:webHidden/>
              </w:rPr>
              <w:instrText xml:space="preserve"> PAGEREF _Toc234227851 \h </w:instrText>
            </w:r>
            <w:r w:rsidR="00370F6C">
              <w:rPr>
                <w:noProof/>
                <w:webHidden/>
              </w:rPr>
            </w:r>
            <w:r w:rsidR="00370F6C">
              <w:rPr>
                <w:noProof/>
                <w:webHidden/>
              </w:rPr>
              <w:fldChar w:fldCharType="separate"/>
            </w:r>
            <w:r w:rsidR="00370F6C">
              <w:rPr>
                <w:noProof/>
                <w:webHidden/>
              </w:rPr>
              <w:t>19</w:t>
            </w:r>
            <w:r w:rsidR="00370F6C">
              <w:rPr>
                <w:noProof/>
                <w:webHidden/>
              </w:rPr>
              <w:fldChar w:fldCharType="end"/>
            </w:r>
          </w:hyperlink>
        </w:p>
        <w:p w14:paraId="497C85CD" w14:textId="7A00FF14" w:rsidR="00370F6C" w:rsidRDefault="002214E6">
          <w:pPr>
            <w:pStyle w:val="TOC2"/>
            <w:tabs>
              <w:tab w:val="left" w:pos="1916"/>
            </w:tabs>
            <w:rPr>
              <w:rFonts w:asciiTheme="minorHAnsi" w:eastAsiaTheme="minorEastAsia" w:hAnsiTheme="minorHAnsi" w:cstheme="minorBidi"/>
              <w:kern w:val="2"/>
              <w:szCs w:val="24"/>
              <w:lang w:val="en-IE" w:eastAsia="en-IE"/>
              <w14:ligatures w14:val="standardContextual"/>
            </w:rPr>
          </w:pPr>
          <w:hyperlink w:anchor="_Toc234227852" w:history="1">
            <w:r w:rsidR="00370F6C" w:rsidRPr="00FC263E">
              <w:rPr>
                <w:rStyle w:val="Hyperlink"/>
              </w:rPr>
              <w:t>4.3.</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Objectives sought with the Report</w:t>
            </w:r>
            <w:r w:rsidR="00370F6C">
              <w:rPr>
                <w:webHidden/>
              </w:rPr>
              <w:tab/>
            </w:r>
            <w:r w:rsidR="00370F6C">
              <w:rPr>
                <w:webHidden/>
              </w:rPr>
              <w:fldChar w:fldCharType="begin"/>
            </w:r>
            <w:r w:rsidR="00370F6C">
              <w:rPr>
                <w:webHidden/>
              </w:rPr>
              <w:instrText xml:space="preserve"> PAGEREF _Toc234227852 \h </w:instrText>
            </w:r>
            <w:r w:rsidR="00370F6C">
              <w:rPr>
                <w:webHidden/>
              </w:rPr>
            </w:r>
            <w:r w:rsidR="00370F6C">
              <w:rPr>
                <w:webHidden/>
              </w:rPr>
              <w:fldChar w:fldCharType="separate"/>
            </w:r>
            <w:r w:rsidR="00370F6C">
              <w:rPr>
                <w:webHidden/>
              </w:rPr>
              <w:t>19</w:t>
            </w:r>
            <w:r w:rsidR="00370F6C">
              <w:rPr>
                <w:webHidden/>
              </w:rPr>
              <w:fldChar w:fldCharType="end"/>
            </w:r>
          </w:hyperlink>
        </w:p>
        <w:p w14:paraId="4925DF0A" w14:textId="1649D923"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53" w:history="1">
            <w:r w:rsidR="00370F6C" w:rsidRPr="00FC263E">
              <w:rPr>
                <w:rStyle w:val="Hyperlink"/>
                <w:noProof/>
              </w:rPr>
              <w:t>4.3.1.</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Transparency</w:t>
            </w:r>
            <w:r w:rsidR="00370F6C">
              <w:rPr>
                <w:noProof/>
                <w:webHidden/>
              </w:rPr>
              <w:tab/>
            </w:r>
            <w:r w:rsidR="00370F6C">
              <w:rPr>
                <w:noProof/>
                <w:webHidden/>
              </w:rPr>
              <w:fldChar w:fldCharType="begin"/>
            </w:r>
            <w:r w:rsidR="00370F6C">
              <w:rPr>
                <w:noProof/>
                <w:webHidden/>
              </w:rPr>
              <w:instrText xml:space="preserve"> PAGEREF _Toc234227853 \h </w:instrText>
            </w:r>
            <w:r w:rsidR="00370F6C">
              <w:rPr>
                <w:noProof/>
                <w:webHidden/>
              </w:rPr>
            </w:r>
            <w:r w:rsidR="00370F6C">
              <w:rPr>
                <w:noProof/>
                <w:webHidden/>
              </w:rPr>
              <w:fldChar w:fldCharType="separate"/>
            </w:r>
            <w:r w:rsidR="00370F6C">
              <w:rPr>
                <w:noProof/>
                <w:webHidden/>
              </w:rPr>
              <w:t>19</w:t>
            </w:r>
            <w:r w:rsidR="00370F6C">
              <w:rPr>
                <w:noProof/>
                <w:webHidden/>
              </w:rPr>
              <w:fldChar w:fldCharType="end"/>
            </w:r>
          </w:hyperlink>
        </w:p>
        <w:p w14:paraId="4CEA6D1B" w14:textId="071A0FF3"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54" w:history="1">
            <w:r w:rsidR="00370F6C" w:rsidRPr="00FC263E">
              <w:rPr>
                <w:rStyle w:val="Hyperlink"/>
                <w:noProof/>
              </w:rPr>
              <w:t>4.3.2.</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Simplification</w:t>
            </w:r>
            <w:r w:rsidR="00370F6C">
              <w:rPr>
                <w:noProof/>
                <w:webHidden/>
              </w:rPr>
              <w:tab/>
            </w:r>
            <w:r w:rsidR="00370F6C">
              <w:rPr>
                <w:noProof/>
                <w:webHidden/>
              </w:rPr>
              <w:fldChar w:fldCharType="begin"/>
            </w:r>
            <w:r w:rsidR="00370F6C">
              <w:rPr>
                <w:noProof/>
                <w:webHidden/>
              </w:rPr>
              <w:instrText xml:space="preserve"> PAGEREF _Toc234227854 \h </w:instrText>
            </w:r>
            <w:r w:rsidR="00370F6C">
              <w:rPr>
                <w:noProof/>
                <w:webHidden/>
              </w:rPr>
            </w:r>
            <w:r w:rsidR="00370F6C">
              <w:rPr>
                <w:noProof/>
                <w:webHidden/>
              </w:rPr>
              <w:fldChar w:fldCharType="separate"/>
            </w:r>
            <w:r w:rsidR="00370F6C">
              <w:rPr>
                <w:noProof/>
                <w:webHidden/>
              </w:rPr>
              <w:t>21</w:t>
            </w:r>
            <w:r w:rsidR="00370F6C">
              <w:rPr>
                <w:noProof/>
                <w:webHidden/>
              </w:rPr>
              <w:fldChar w:fldCharType="end"/>
            </w:r>
          </w:hyperlink>
        </w:p>
        <w:p w14:paraId="586882EB" w14:textId="49285EA7"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55" w:history="1">
            <w:r w:rsidR="00370F6C" w:rsidRPr="00FC263E">
              <w:rPr>
                <w:rStyle w:val="Hyperlink"/>
                <w:noProof/>
              </w:rPr>
              <w:t>4.3.3.</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Optimisation of work</w:t>
            </w:r>
            <w:r w:rsidR="00370F6C">
              <w:rPr>
                <w:noProof/>
                <w:webHidden/>
              </w:rPr>
              <w:tab/>
            </w:r>
            <w:r w:rsidR="00370F6C">
              <w:rPr>
                <w:noProof/>
                <w:webHidden/>
              </w:rPr>
              <w:fldChar w:fldCharType="begin"/>
            </w:r>
            <w:r w:rsidR="00370F6C">
              <w:rPr>
                <w:noProof/>
                <w:webHidden/>
              </w:rPr>
              <w:instrText xml:space="preserve"> PAGEREF _Toc234227855 \h </w:instrText>
            </w:r>
            <w:r w:rsidR="00370F6C">
              <w:rPr>
                <w:noProof/>
                <w:webHidden/>
              </w:rPr>
            </w:r>
            <w:r w:rsidR="00370F6C">
              <w:rPr>
                <w:noProof/>
                <w:webHidden/>
              </w:rPr>
              <w:fldChar w:fldCharType="separate"/>
            </w:r>
            <w:r w:rsidR="00370F6C">
              <w:rPr>
                <w:noProof/>
                <w:webHidden/>
              </w:rPr>
              <w:t>21</w:t>
            </w:r>
            <w:r w:rsidR="00370F6C">
              <w:rPr>
                <w:noProof/>
                <w:webHidden/>
              </w:rPr>
              <w:fldChar w:fldCharType="end"/>
            </w:r>
          </w:hyperlink>
        </w:p>
        <w:p w14:paraId="3C73509B" w14:textId="79A47F17"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56" w:history="1">
            <w:r w:rsidR="00370F6C" w:rsidRPr="00FC263E">
              <w:rPr>
                <w:rStyle w:val="Hyperlink"/>
                <w:noProof/>
              </w:rPr>
              <w:t>4.3.4.</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Observation on international obligations</w:t>
            </w:r>
            <w:r w:rsidR="00370F6C">
              <w:rPr>
                <w:noProof/>
                <w:webHidden/>
              </w:rPr>
              <w:tab/>
            </w:r>
            <w:r w:rsidR="00370F6C">
              <w:rPr>
                <w:noProof/>
                <w:webHidden/>
              </w:rPr>
              <w:fldChar w:fldCharType="begin"/>
            </w:r>
            <w:r w:rsidR="00370F6C">
              <w:rPr>
                <w:noProof/>
                <w:webHidden/>
              </w:rPr>
              <w:instrText xml:space="preserve"> PAGEREF _Toc234227856 \h </w:instrText>
            </w:r>
            <w:r w:rsidR="00370F6C">
              <w:rPr>
                <w:noProof/>
                <w:webHidden/>
              </w:rPr>
            </w:r>
            <w:r w:rsidR="00370F6C">
              <w:rPr>
                <w:noProof/>
                <w:webHidden/>
              </w:rPr>
              <w:fldChar w:fldCharType="separate"/>
            </w:r>
            <w:r w:rsidR="00370F6C">
              <w:rPr>
                <w:noProof/>
                <w:webHidden/>
              </w:rPr>
              <w:t>21</w:t>
            </w:r>
            <w:r w:rsidR="00370F6C">
              <w:rPr>
                <w:noProof/>
                <w:webHidden/>
              </w:rPr>
              <w:fldChar w:fldCharType="end"/>
            </w:r>
          </w:hyperlink>
        </w:p>
        <w:p w14:paraId="2EE81EFB" w14:textId="155447BD" w:rsidR="00370F6C" w:rsidRDefault="002214E6">
          <w:pPr>
            <w:pStyle w:val="TOC1"/>
            <w:rPr>
              <w:rFonts w:asciiTheme="minorHAnsi" w:eastAsiaTheme="minorEastAsia" w:hAnsiTheme="minorHAnsi" w:cstheme="minorBidi"/>
              <w:noProof/>
              <w:kern w:val="2"/>
              <w:szCs w:val="24"/>
              <w:lang w:val="en-IE" w:eastAsia="en-IE"/>
              <w14:ligatures w14:val="standardContextual"/>
            </w:rPr>
          </w:pPr>
          <w:hyperlink w:anchor="_Toc234227857" w:history="1">
            <w:r w:rsidR="00370F6C" w:rsidRPr="00FC263E">
              <w:rPr>
                <w:rStyle w:val="Hyperlink"/>
                <w:noProof/>
              </w:rPr>
              <w:t>5.</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FINDINGS</w:t>
            </w:r>
            <w:r w:rsidR="00370F6C">
              <w:rPr>
                <w:noProof/>
                <w:webHidden/>
              </w:rPr>
              <w:tab/>
            </w:r>
            <w:r w:rsidR="00370F6C">
              <w:rPr>
                <w:noProof/>
                <w:webHidden/>
              </w:rPr>
              <w:fldChar w:fldCharType="begin"/>
            </w:r>
            <w:r w:rsidR="00370F6C">
              <w:rPr>
                <w:noProof/>
                <w:webHidden/>
              </w:rPr>
              <w:instrText xml:space="preserve"> PAGEREF _Toc234227857 \h </w:instrText>
            </w:r>
            <w:r w:rsidR="00370F6C">
              <w:rPr>
                <w:noProof/>
                <w:webHidden/>
              </w:rPr>
            </w:r>
            <w:r w:rsidR="00370F6C">
              <w:rPr>
                <w:noProof/>
                <w:webHidden/>
              </w:rPr>
              <w:fldChar w:fldCharType="separate"/>
            </w:r>
            <w:r w:rsidR="00370F6C">
              <w:rPr>
                <w:noProof/>
                <w:webHidden/>
              </w:rPr>
              <w:t>22</w:t>
            </w:r>
            <w:r w:rsidR="00370F6C">
              <w:rPr>
                <w:noProof/>
                <w:webHidden/>
              </w:rPr>
              <w:fldChar w:fldCharType="end"/>
            </w:r>
          </w:hyperlink>
        </w:p>
        <w:p w14:paraId="19F94067" w14:textId="7FDBA43D" w:rsidR="00370F6C" w:rsidRDefault="002214E6">
          <w:pPr>
            <w:pStyle w:val="TOC2"/>
            <w:tabs>
              <w:tab w:val="left" w:pos="1916"/>
            </w:tabs>
            <w:rPr>
              <w:rFonts w:asciiTheme="minorHAnsi" w:eastAsiaTheme="minorEastAsia" w:hAnsiTheme="minorHAnsi" w:cstheme="minorBidi"/>
              <w:kern w:val="2"/>
              <w:szCs w:val="24"/>
              <w:lang w:val="en-IE" w:eastAsia="en-IE"/>
              <w14:ligatures w14:val="standardContextual"/>
            </w:rPr>
          </w:pPr>
          <w:hyperlink w:anchor="_Toc234227858" w:history="1">
            <w:r w:rsidR="00370F6C" w:rsidRPr="00FC263E">
              <w:rPr>
                <w:rStyle w:val="Hyperlink"/>
              </w:rPr>
              <w:t>5.1.</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Status of implementation</w:t>
            </w:r>
            <w:r w:rsidR="00370F6C">
              <w:rPr>
                <w:webHidden/>
              </w:rPr>
              <w:tab/>
            </w:r>
            <w:r w:rsidR="00370F6C">
              <w:rPr>
                <w:webHidden/>
              </w:rPr>
              <w:fldChar w:fldCharType="begin"/>
            </w:r>
            <w:r w:rsidR="00370F6C">
              <w:rPr>
                <w:webHidden/>
              </w:rPr>
              <w:instrText xml:space="preserve"> PAGEREF _Toc234227858 \h </w:instrText>
            </w:r>
            <w:r w:rsidR="00370F6C">
              <w:rPr>
                <w:webHidden/>
              </w:rPr>
            </w:r>
            <w:r w:rsidR="00370F6C">
              <w:rPr>
                <w:webHidden/>
              </w:rPr>
              <w:fldChar w:fldCharType="separate"/>
            </w:r>
            <w:r w:rsidR="00370F6C">
              <w:rPr>
                <w:webHidden/>
              </w:rPr>
              <w:t>22</w:t>
            </w:r>
            <w:r w:rsidR="00370F6C">
              <w:rPr>
                <w:webHidden/>
              </w:rPr>
              <w:fldChar w:fldCharType="end"/>
            </w:r>
          </w:hyperlink>
        </w:p>
        <w:p w14:paraId="0A287242" w14:textId="21310E8A" w:rsidR="00370F6C" w:rsidRDefault="002214E6">
          <w:pPr>
            <w:pStyle w:val="TOC2"/>
            <w:tabs>
              <w:tab w:val="left" w:pos="1916"/>
            </w:tabs>
            <w:rPr>
              <w:rFonts w:asciiTheme="minorHAnsi" w:eastAsiaTheme="minorEastAsia" w:hAnsiTheme="minorHAnsi" w:cstheme="minorBidi"/>
              <w:kern w:val="2"/>
              <w:szCs w:val="24"/>
              <w:lang w:val="en-IE" w:eastAsia="en-IE"/>
              <w14:ligatures w14:val="standardContextual"/>
            </w:rPr>
          </w:pPr>
          <w:hyperlink w:anchor="_Toc234227859" w:history="1">
            <w:r w:rsidR="00370F6C" w:rsidRPr="00FC263E">
              <w:rPr>
                <w:rStyle w:val="Hyperlink"/>
              </w:rPr>
              <w:t>5.2.</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Status of enforcement</w:t>
            </w:r>
            <w:r w:rsidR="00370F6C">
              <w:rPr>
                <w:webHidden/>
              </w:rPr>
              <w:tab/>
            </w:r>
            <w:r w:rsidR="00370F6C">
              <w:rPr>
                <w:webHidden/>
              </w:rPr>
              <w:fldChar w:fldCharType="begin"/>
            </w:r>
            <w:r w:rsidR="00370F6C">
              <w:rPr>
                <w:webHidden/>
              </w:rPr>
              <w:instrText xml:space="preserve"> PAGEREF _Toc234227859 \h </w:instrText>
            </w:r>
            <w:r w:rsidR="00370F6C">
              <w:rPr>
                <w:webHidden/>
              </w:rPr>
            </w:r>
            <w:r w:rsidR="00370F6C">
              <w:rPr>
                <w:webHidden/>
              </w:rPr>
              <w:fldChar w:fldCharType="separate"/>
            </w:r>
            <w:r w:rsidR="00370F6C">
              <w:rPr>
                <w:webHidden/>
              </w:rPr>
              <w:t>22</w:t>
            </w:r>
            <w:r w:rsidR="00370F6C">
              <w:rPr>
                <w:webHidden/>
              </w:rPr>
              <w:fldChar w:fldCharType="end"/>
            </w:r>
          </w:hyperlink>
        </w:p>
        <w:p w14:paraId="4CB4025A" w14:textId="26616C5E"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60" w:history="1">
            <w:r w:rsidR="00370F6C" w:rsidRPr="00FC263E">
              <w:rPr>
                <w:rStyle w:val="Hyperlink"/>
                <w:noProof/>
              </w:rPr>
              <w:t>5.2.1.</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Relevance, clarity and appropriateness of substantive provisions</w:t>
            </w:r>
            <w:r w:rsidR="00370F6C">
              <w:rPr>
                <w:noProof/>
                <w:webHidden/>
              </w:rPr>
              <w:tab/>
            </w:r>
            <w:r w:rsidR="00370F6C">
              <w:rPr>
                <w:noProof/>
                <w:webHidden/>
              </w:rPr>
              <w:fldChar w:fldCharType="begin"/>
            </w:r>
            <w:r w:rsidR="00370F6C">
              <w:rPr>
                <w:noProof/>
                <w:webHidden/>
              </w:rPr>
              <w:instrText xml:space="preserve"> PAGEREF _Toc234227860 \h </w:instrText>
            </w:r>
            <w:r w:rsidR="00370F6C">
              <w:rPr>
                <w:noProof/>
                <w:webHidden/>
              </w:rPr>
            </w:r>
            <w:r w:rsidR="00370F6C">
              <w:rPr>
                <w:noProof/>
                <w:webHidden/>
              </w:rPr>
              <w:fldChar w:fldCharType="separate"/>
            </w:r>
            <w:r w:rsidR="00370F6C">
              <w:rPr>
                <w:noProof/>
                <w:webHidden/>
              </w:rPr>
              <w:t>23</w:t>
            </w:r>
            <w:r w:rsidR="00370F6C">
              <w:rPr>
                <w:noProof/>
                <w:webHidden/>
              </w:rPr>
              <w:fldChar w:fldCharType="end"/>
            </w:r>
          </w:hyperlink>
        </w:p>
        <w:p w14:paraId="30CB0F43" w14:textId="145F353A" w:rsidR="00370F6C" w:rsidRDefault="002214E6">
          <w:pPr>
            <w:pStyle w:val="TOC4"/>
            <w:tabs>
              <w:tab w:val="left" w:pos="2880"/>
            </w:tabs>
            <w:rPr>
              <w:rFonts w:asciiTheme="minorHAnsi" w:eastAsiaTheme="minorEastAsia" w:hAnsiTheme="minorHAnsi" w:cstheme="minorBidi"/>
              <w:kern w:val="2"/>
              <w:szCs w:val="24"/>
              <w:lang w:val="en-IE" w:eastAsia="en-IE"/>
              <w14:ligatures w14:val="standardContextual"/>
            </w:rPr>
          </w:pPr>
          <w:hyperlink w:anchor="_Toc234227861" w:history="1">
            <w:r w:rsidR="00370F6C" w:rsidRPr="00FC263E">
              <w:rPr>
                <w:rStyle w:val="Hyperlink"/>
              </w:rPr>
              <w:t>5.2.1.1.</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Feedback from stakeholders</w:t>
            </w:r>
            <w:r w:rsidR="00370F6C">
              <w:rPr>
                <w:webHidden/>
              </w:rPr>
              <w:tab/>
            </w:r>
            <w:r w:rsidR="00370F6C">
              <w:rPr>
                <w:webHidden/>
              </w:rPr>
              <w:fldChar w:fldCharType="begin"/>
            </w:r>
            <w:r w:rsidR="00370F6C">
              <w:rPr>
                <w:webHidden/>
              </w:rPr>
              <w:instrText xml:space="preserve"> PAGEREF _Toc234227861 \h </w:instrText>
            </w:r>
            <w:r w:rsidR="00370F6C">
              <w:rPr>
                <w:webHidden/>
              </w:rPr>
            </w:r>
            <w:r w:rsidR="00370F6C">
              <w:rPr>
                <w:webHidden/>
              </w:rPr>
              <w:fldChar w:fldCharType="separate"/>
            </w:r>
            <w:r w:rsidR="00370F6C">
              <w:rPr>
                <w:webHidden/>
              </w:rPr>
              <w:t>23</w:t>
            </w:r>
            <w:r w:rsidR="00370F6C">
              <w:rPr>
                <w:webHidden/>
              </w:rPr>
              <w:fldChar w:fldCharType="end"/>
            </w:r>
          </w:hyperlink>
        </w:p>
        <w:p w14:paraId="79154BA3" w14:textId="734D4CC6" w:rsidR="00370F6C" w:rsidRDefault="002214E6">
          <w:pPr>
            <w:pStyle w:val="TOC4"/>
            <w:tabs>
              <w:tab w:val="left" w:pos="2880"/>
            </w:tabs>
            <w:rPr>
              <w:rFonts w:asciiTheme="minorHAnsi" w:eastAsiaTheme="minorEastAsia" w:hAnsiTheme="minorHAnsi" w:cstheme="minorBidi"/>
              <w:kern w:val="2"/>
              <w:szCs w:val="24"/>
              <w:lang w:val="en-IE" w:eastAsia="en-IE"/>
              <w14:ligatures w14:val="standardContextual"/>
            </w:rPr>
          </w:pPr>
          <w:hyperlink w:anchor="_Toc234227862" w:history="1">
            <w:r w:rsidR="00370F6C" w:rsidRPr="00FC263E">
              <w:rPr>
                <w:rStyle w:val="Hyperlink"/>
                <w:lang w:val="en-IE"/>
              </w:rPr>
              <w:t>5.2.1.2.</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lang w:val="en-IE"/>
              </w:rPr>
              <w:t xml:space="preserve">The </w:t>
            </w:r>
            <w:r w:rsidR="00370F6C" w:rsidRPr="00FC263E">
              <w:rPr>
                <w:rStyle w:val="Hyperlink"/>
              </w:rPr>
              <w:t>Commission services’</w:t>
            </w:r>
            <w:r w:rsidR="00370F6C" w:rsidRPr="00FC263E">
              <w:rPr>
                <w:rStyle w:val="Hyperlink"/>
                <w:lang w:val="en-IE"/>
              </w:rPr>
              <w:t xml:space="preserve"> assessment</w:t>
            </w:r>
            <w:r w:rsidR="00370F6C">
              <w:rPr>
                <w:webHidden/>
              </w:rPr>
              <w:tab/>
            </w:r>
            <w:r w:rsidR="00370F6C">
              <w:rPr>
                <w:webHidden/>
              </w:rPr>
              <w:fldChar w:fldCharType="begin"/>
            </w:r>
            <w:r w:rsidR="00370F6C">
              <w:rPr>
                <w:webHidden/>
              </w:rPr>
              <w:instrText xml:space="preserve"> PAGEREF _Toc234227862 \h </w:instrText>
            </w:r>
            <w:r w:rsidR="00370F6C">
              <w:rPr>
                <w:webHidden/>
              </w:rPr>
            </w:r>
            <w:r w:rsidR="00370F6C">
              <w:rPr>
                <w:webHidden/>
              </w:rPr>
              <w:fldChar w:fldCharType="separate"/>
            </w:r>
            <w:r w:rsidR="00370F6C">
              <w:rPr>
                <w:webHidden/>
              </w:rPr>
              <w:t>25</w:t>
            </w:r>
            <w:r w:rsidR="00370F6C">
              <w:rPr>
                <w:webHidden/>
              </w:rPr>
              <w:fldChar w:fldCharType="end"/>
            </w:r>
          </w:hyperlink>
        </w:p>
        <w:p w14:paraId="4103A54D" w14:textId="17EA9FF0"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63" w:history="1">
            <w:r w:rsidR="00370F6C" w:rsidRPr="00FC263E">
              <w:rPr>
                <w:rStyle w:val="Hyperlink"/>
                <w:noProof/>
                <w:lang w:val="en-IE"/>
              </w:rPr>
              <w:t>5.2.2.</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lang w:val="en-IE"/>
              </w:rPr>
              <w:t>Ex officio investigations</w:t>
            </w:r>
            <w:r w:rsidR="00370F6C">
              <w:rPr>
                <w:noProof/>
                <w:webHidden/>
              </w:rPr>
              <w:tab/>
            </w:r>
            <w:r w:rsidR="00370F6C">
              <w:rPr>
                <w:noProof/>
                <w:webHidden/>
              </w:rPr>
              <w:fldChar w:fldCharType="begin"/>
            </w:r>
            <w:r w:rsidR="00370F6C">
              <w:rPr>
                <w:noProof/>
                <w:webHidden/>
              </w:rPr>
              <w:instrText xml:space="preserve"> PAGEREF _Toc234227863 \h </w:instrText>
            </w:r>
            <w:r w:rsidR="00370F6C">
              <w:rPr>
                <w:noProof/>
                <w:webHidden/>
              </w:rPr>
            </w:r>
            <w:r w:rsidR="00370F6C">
              <w:rPr>
                <w:noProof/>
                <w:webHidden/>
              </w:rPr>
              <w:fldChar w:fldCharType="separate"/>
            </w:r>
            <w:r w:rsidR="00370F6C">
              <w:rPr>
                <w:noProof/>
                <w:webHidden/>
              </w:rPr>
              <w:t>25</w:t>
            </w:r>
            <w:r w:rsidR="00370F6C">
              <w:rPr>
                <w:noProof/>
                <w:webHidden/>
              </w:rPr>
              <w:fldChar w:fldCharType="end"/>
            </w:r>
          </w:hyperlink>
        </w:p>
        <w:p w14:paraId="43E942D4" w14:textId="5561DC27" w:rsidR="00370F6C" w:rsidRDefault="002214E6">
          <w:pPr>
            <w:pStyle w:val="TOC4"/>
            <w:tabs>
              <w:tab w:val="left" w:pos="2880"/>
            </w:tabs>
            <w:rPr>
              <w:rFonts w:asciiTheme="minorHAnsi" w:eastAsiaTheme="minorEastAsia" w:hAnsiTheme="minorHAnsi" w:cstheme="minorBidi"/>
              <w:kern w:val="2"/>
              <w:szCs w:val="24"/>
              <w:lang w:val="en-IE" w:eastAsia="en-IE"/>
              <w14:ligatures w14:val="standardContextual"/>
            </w:rPr>
          </w:pPr>
          <w:hyperlink w:anchor="_Toc234227864" w:history="1">
            <w:r w:rsidR="00370F6C" w:rsidRPr="00FC263E">
              <w:rPr>
                <w:rStyle w:val="Hyperlink"/>
                <w:lang w:val="en-IE"/>
              </w:rPr>
              <w:t>5.2.2.1.</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Information</w:t>
            </w:r>
            <w:r w:rsidR="00370F6C" w:rsidRPr="00FC263E">
              <w:rPr>
                <w:rStyle w:val="Hyperlink"/>
                <w:lang w:val="en-IE"/>
              </w:rPr>
              <w:t xml:space="preserve"> on cases</w:t>
            </w:r>
            <w:r w:rsidR="00370F6C">
              <w:rPr>
                <w:webHidden/>
              </w:rPr>
              <w:tab/>
            </w:r>
            <w:r w:rsidR="00370F6C">
              <w:rPr>
                <w:webHidden/>
              </w:rPr>
              <w:fldChar w:fldCharType="begin"/>
            </w:r>
            <w:r w:rsidR="00370F6C">
              <w:rPr>
                <w:webHidden/>
              </w:rPr>
              <w:instrText xml:space="preserve"> PAGEREF _Toc234227864 \h </w:instrText>
            </w:r>
            <w:r w:rsidR="00370F6C">
              <w:rPr>
                <w:webHidden/>
              </w:rPr>
            </w:r>
            <w:r w:rsidR="00370F6C">
              <w:rPr>
                <w:webHidden/>
              </w:rPr>
              <w:fldChar w:fldCharType="separate"/>
            </w:r>
            <w:r w:rsidR="00370F6C">
              <w:rPr>
                <w:webHidden/>
              </w:rPr>
              <w:t>25</w:t>
            </w:r>
            <w:r w:rsidR="00370F6C">
              <w:rPr>
                <w:webHidden/>
              </w:rPr>
              <w:fldChar w:fldCharType="end"/>
            </w:r>
          </w:hyperlink>
        </w:p>
        <w:p w14:paraId="66B5A045" w14:textId="252C3CE6" w:rsidR="00370F6C" w:rsidRDefault="002214E6">
          <w:pPr>
            <w:pStyle w:val="TOC4"/>
            <w:tabs>
              <w:tab w:val="left" w:pos="2880"/>
            </w:tabs>
            <w:rPr>
              <w:rFonts w:asciiTheme="minorHAnsi" w:eastAsiaTheme="minorEastAsia" w:hAnsiTheme="minorHAnsi" w:cstheme="minorBidi"/>
              <w:kern w:val="2"/>
              <w:szCs w:val="24"/>
              <w:lang w:val="en-IE" w:eastAsia="en-IE"/>
              <w14:ligatures w14:val="standardContextual"/>
            </w:rPr>
          </w:pPr>
          <w:hyperlink w:anchor="_Toc234227865" w:history="1">
            <w:r w:rsidR="00370F6C" w:rsidRPr="00FC263E">
              <w:rPr>
                <w:rStyle w:val="Hyperlink"/>
              </w:rPr>
              <w:t>5.2.2.2.</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Review by the EU Courts</w:t>
            </w:r>
            <w:r w:rsidR="00370F6C">
              <w:rPr>
                <w:webHidden/>
              </w:rPr>
              <w:tab/>
            </w:r>
            <w:r w:rsidR="00370F6C">
              <w:rPr>
                <w:webHidden/>
              </w:rPr>
              <w:fldChar w:fldCharType="begin"/>
            </w:r>
            <w:r w:rsidR="00370F6C">
              <w:rPr>
                <w:webHidden/>
              </w:rPr>
              <w:instrText xml:space="preserve"> PAGEREF _Toc234227865 \h </w:instrText>
            </w:r>
            <w:r w:rsidR="00370F6C">
              <w:rPr>
                <w:webHidden/>
              </w:rPr>
            </w:r>
            <w:r w:rsidR="00370F6C">
              <w:rPr>
                <w:webHidden/>
              </w:rPr>
              <w:fldChar w:fldCharType="separate"/>
            </w:r>
            <w:r w:rsidR="00370F6C">
              <w:rPr>
                <w:webHidden/>
              </w:rPr>
              <w:t>26</w:t>
            </w:r>
            <w:r w:rsidR="00370F6C">
              <w:rPr>
                <w:webHidden/>
              </w:rPr>
              <w:fldChar w:fldCharType="end"/>
            </w:r>
          </w:hyperlink>
        </w:p>
        <w:p w14:paraId="60D26E6D" w14:textId="1BF50D67" w:rsidR="00370F6C" w:rsidRDefault="002214E6">
          <w:pPr>
            <w:pStyle w:val="TOC4"/>
            <w:tabs>
              <w:tab w:val="left" w:pos="2880"/>
            </w:tabs>
            <w:rPr>
              <w:rFonts w:asciiTheme="minorHAnsi" w:eastAsiaTheme="minorEastAsia" w:hAnsiTheme="minorHAnsi" w:cstheme="minorBidi"/>
              <w:kern w:val="2"/>
              <w:szCs w:val="24"/>
              <w:lang w:val="en-IE" w:eastAsia="en-IE"/>
              <w14:ligatures w14:val="standardContextual"/>
            </w:rPr>
          </w:pPr>
          <w:hyperlink w:anchor="_Toc234227866" w:history="1">
            <w:r w:rsidR="00370F6C" w:rsidRPr="00FC263E">
              <w:rPr>
                <w:rStyle w:val="Hyperlink"/>
              </w:rPr>
              <w:t>5.2.2.3.</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Feedback from stakeholders</w:t>
            </w:r>
            <w:r w:rsidR="00370F6C">
              <w:rPr>
                <w:webHidden/>
              </w:rPr>
              <w:tab/>
            </w:r>
            <w:r w:rsidR="00370F6C">
              <w:rPr>
                <w:webHidden/>
              </w:rPr>
              <w:fldChar w:fldCharType="begin"/>
            </w:r>
            <w:r w:rsidR="00370F6C">
              <w:rPr>
                <w:webHidden/>
              </w:rPr>
              <w:instrText xml:space="preserve"> PAGEREF _Toc234227866 \h </w:instrText>
            </w:r>
            <w:r w:rsidR="00370F6C">
              <w:rPr>
                <w:webHidden/>
              </w:rPr>
            </w:r>
            <w:r w:rsidR="00370F6C">
              <w:rPr>
                <w:webHidden/>
              </w:rPr>
              <w:fldChar w:fldCharType="separate"/>
            </w:r>
            <w:r w:rsidR="00370F6C">
              <w:rPr>
                <w:webHidden/>
              </w:rPr>
              <w:t>27</w:t>
            </w:r>
            <w:r w:rsidR="00370F6C">
              <w:rPr>
                <w:webHidden/>
              </w:rPr>
              <w:fldChar w:fldCharType="end"/>
            </w:r>
          </w:hyperlink>
        </w:p>
        <w:p w14:paraId="03E33301" w14:textId="3439DD6E" w:rsidR="00370F6C" w:rsidRDefault="002214E6">
          <w:pPr>
            <w:pStyle w:val="TOC4"/>
            <w:tabs>
              <w:tab w:val="left" w:pos="2880"/>
            </w:tabs>
            <w:rPr>
              <w:rFonts w:asciiTheme="minorHAnsi" w:eastAsiaTheme="minorEastAsia" w:hAnsiTheme="minorHAnsi" w:cstheme="minorBidi"/>
              <w:kern w:val="2"/>
              <w:szCs w:val="24"/>
              <w:lang w:val="en-IE" w:eastAsia="en-IE"/>
              <w14:ligatures w14:val="standardContextual"/>
            </w:rPr>
          </w:pPr>
          <w:hyperlink w:anchor="_Toc234227867" w:history="1">
            <w:r w:rsidR="00370F6C" w:rsidRPr="00FC263E">
              <w:rPr>
                <w:rStyle w:val="Hyperlink"/>
                <w:lang w:val="en-IE"/>
              </w:rPr>
              <w:t>5.2.2.4.</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lang w:val="en-IE"/>
              </w:rPr>
              <w:t xml:space="preserve">The </w:t>
            </w:r>
            <w:r w:rsidR="00370F6C" w:rsidRPr="00FC263E">
              <w:rPr>
                <w:rStyle w:val="Hyperlink"/>
              </w:rPr>
              <w:t>Commission services’</w:t>
            </w:r>
            <w:r w:rsidR="00370F6C" w:rsidRPr="00FC263E">
              <w:rPr>
                <w:rStyle w:val="Hyperlink"/>
                <w:lang w:val="en-IE"/>
              </w:rPr>
              <w:t xml:space="preserve"> assessment</w:t>
            </w:r>
            <w:r w:rsidR="00370F6C">
              <w:rPr>
                <w:webHidden/>
              </w:rPr>
              <w:tab/>
            </w:r>
            <w:r w:rsidR="00370F6C">
              <w:rPr>
                <w:webHidden/>
              </w:rPr>
              <w:fldChar w:fldCharType="begin"/>
            </w:r>
            <w:r w:rsidR="00370F6C">
              <w:rPr>
                <w:webHidden/>
              </w:rPr>
              <w:instrText xml:space="preserve"> PAGEREF _Toc234227867 \h </w:instrText>
            </w:r>
            <w:r w:rsidR="00370F6C">
              <w:rPr>
                <w:webHidden/>
              </w:rPr>
            </w:r>
            <w:r w:rsidR="00370F6C">
              <w:rPr>
                <w:webHidden/>
              </w:rPr>
              <w:fldChar w:fldCharType="separate"/>
            </w:r>
            <w:r w:rsidR="00370F6C">
              <w:rPr>
                <w:webHidden/>
              </w:rPr>
              <w:t>27</w:t>
            </w:r>
            <w:r w:rsidR="00370F6C">
              <w:rPr>
                <w:webHidden/>
              </w:rPr>
              <w:fldChar w:fldCharType="end"/>
            </w:r>
          </w:hyperlink>
        </w:p>
        <w:p w14:paraId="3E2853F4" w14:textId="6C1FEF1C"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68" w:history="1">
            <w:r w:rsidR="00370F6C" w:rsidRPr="00FC263E">
              <w:rPr>
                <w:rStyle w:val="Hyperlink"/>
                <w:noProof/>
              </w:rPr>
              <w:t>5.2.3.</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lang w:val="en-IE"/>
              </w:rPr>
              <w:t xml:space="preserve">Notification of </w:t>
            </w:r>
            <w:r w:rsidR="00370F6C" w:rsidRPr="00FC263E">
              <w:rPr>
                <w:rStyle w:val="Hyperlink"/>
                <w:noProof/>
              </w:rPr>
              <w:t>concentrations</w:t>
            </w:r>
            <w:r w:rsidR="00370F6C">
              <w:rPr>
                <w:noProof/>
                <w:webHidden/>
              </w:rPr>
              <w:tab/>
            </w:r>
            <w:r w:rsidR="00370F6C">
              <w:rPr>
                <w:noProof/>
                <w:webHidden/>
              </w:rPr>
              <w:fldChar w:fldCharType="begin"/>
            </w:r>
            <w:r w:rsidR="00370F6C">
              <w:rPr>
                <w:noProof/>
                <w:webHidden/>
              </w:rPr>
              <w:instrText xml:space="preserve"> PAGEREF _Toc234227868 \h </w:instrText>
            </w:r>
            <w:r w:rsidR="00370F6C">
              <w:rPr>
                <w:noProof/>
                <w:webHidden/>
              </w:rPr>
            </w:r>
            <w:r w:rsidR="00370F6C">
              <w:rPr>
                <w:noProof/>
                <w:webHidden/>
              </w:rPr>
              <w:fldChar w:fldCharType="separate"/>
            </w:r>
            <w:r w:rsidR="00370F6C">
              <w:rPr>
                <w:noProof/>
                <w:webHidden/>
              </w:rPr>
              <w:t>28</w:t>
            </w:r>
            <w:r w:rsidR="00370F6C">
              <w:rPr>
                <w:noProof/>
                <w:webHidden/>
              </w:rPr>
              <w:fldChar w:fldCharType="end"/>
            </w:r>
          </w:hyperlink>
        </w:p>
        <w:p w14:paraId="2C298006" w14:textId="4249FF4D" w:rsidR="00370F6C" w:rsidRDefault="002214E6">
          <w:pPr>
            <w:pStyle w:val="TOC4"/>
            <w:tabs>
              <w:tab w:val="left" w:pos="2880"/>
            </w:tabs>
            <w:rPr>
              <w:rFonts w:asciiTheme="minorHAnsi" w:eastAsiaTheme="minorEastAsia" w:hAnsiTheme="minorHAnsi" w:cstheme="minorBidi"/>
              <w:kern w:val="2"/>
              <w:szCs w:val="24"/>
              <w:lang w:val="en-IE" w:eastAsia="en-IE"/>
              <w14:ligatures w14:val="standardContextual"/>
            </w:rPr>
          </w:pPr>
          <w:hyperlink w:anchor="_Toc234227869" w:history="1">
            <w:r w:rsidR="00370F6C" w:rsidRPr="00FC263E">
              <w:rPr>
                <w:rStyle w:val="Hyperlink"/>
                <w:lang w:val="en-IE"/>
              </w:rPr>
              <w:t>5.2.3.1.</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lang w:val="en-IE"/>
              </w:rPr>
              <w:t>Information on cases</w:t>
            </w:r>
            <w:r w:rsidR="00370F6C">
              <w:rPr>
                <w:webHidden/>
              </w:rPr>
              <w:tab/>
            </w:r>
            <w:r w:rsidR="00370F6C">
              <w:rPr>
                <w:webHidden/>
              </w:rPr>
              <w:fldChar w:fldCharType="begin"/>
            </w:r>
            <w:r w:rsidR="00370F6C">
              <w:rPr>
                <w:webHidden/>
              </w:rPr>
              <w:instrText xml:space="preserve"> PAGEREF _Toc234227869 \h </w:instrText>
            </w:r>
            <w:r w:rsidR="00370F6C">
              <w:rPr>
                <w:webHidden/>
              </w:rPr>
            </w:r>
            <w:r w:rsidR="00370F6C">
              <w:rPr>
                <w:webHidden/>
              </w:rPr>
              <w:fldChar w:fldCharType="separate"/>
            </w:r>
            <w:r w:rsidR="00370F6C">
              <w:rPr>
                <w:webHidden/>
              </w:rPr>
              <w:t>28</w:t>
            </w:r>
            <w:r w:rsidR="00370F6C">
              <w:rPr>
                <w:webHidden/>
              </w:rPr>
              <w:fldChar w:fldCharType="end"/>
            </w:r>
          </w:hyperlink>
        </w:p>
        <w:p w14:paraId="4F212B7D" w14:textId="008C05F0" w:rsidR="00370F6C" w:rsidRDefault="002214E6">
          <w:pPr>
            <w:pStyle w:val="TOC4"/>
            <w:tabs>
              <w:tab w:val="left" w:pos="2880"/>
            </w:tabs>
            <w:rPr>
              <w:rFonts w:asciiTheme="minorHAnsi" w:eastAsiaTheme="minorEastAsia" w:hAnsiTheme="minorHAnsi" w:cstheme="minorBidi"/>
              <w:kern w:val="2"/>
              <w:szCs w:val="24"/>
              <w:lang w:val="en-IE" w:eastAsia="en-IE"/>
              <w14:ligatures w14:val="standardContextual"/>
            </w:rPr>
          </w:pPr>
          <w:hyperlink w:anchor="_Toc234227870" w:history="1">
            <w:r w:rsidR="00370F6C" w:rsidRPr="00FC263E">
              <w:rPr>
                <w:rStyle w:val="Hyperlink"/>
                <w:lang w:val="en-IE"/>
              </w:rPr>
              <w:t>5.2.3.2.</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lang w:val="en-IE"/>
              </w:rPr>
              <w:t xml:space="preserve">Detailed </w:t>
            </w:r>
            <w:r w:rsidR="00370F6C" w:rsidRPr="00FC263E">
              <w:rPr>
                <w:rStyle w:val="Hyperlink"/>
              </w:rPr>
              <w:t>analysis</w:t>
            </w:r>
            <w:r w:rsidR="00370F6C" w:rsidRPr="00FC263E">
              <w:rPr>
                <w:rStyle w:val="Hyperlink"/>
                <w:lang w:val="en-IE"/>
              </w:rPr>
              <w:t xml:space="preserve"> of Commission practice</w:t>
            </w:r>
            <w:r w:rsidR="00370F6C">
              <w:rPr>
                <w:webHidden/>
              </w:rPr>
              <w:tab/>
            </w:r>
            <w:r w:rsidR="00370F6C">
              <w:rPr>
                <w:webHidden/>
              </w:rPr>
              <w:fldChar w:fldCharType="begin"/>
            </w:r>
            <w:r w:rsidR="00370F6C">
              <w:rPr>
                <w:webHidden/>
              </w:rPr>
              <w:instrText xml:space="preserve"> PAGEREF _Toc234227870 \h </w:instrText>
            </w:r>
            <w:r w:rsidR="00370F6C">
              <w:rPr>
                <w:webHidden/>
              </w:rPr>
            </w:r>
            <w:r w:rsidR="00370F6C">
              <w:rPr>
                <w:webHidden/>
              </w:rPr>
              <w:fldChar w:fldCharType="separate"/>
            </w:r>
            <w:r w:rsidR="00370F6C">
              <w:rPr>
                <w:webHidden/>
              </w:rPr>
              <w:t>29</w:t>
            </w:r>
            <w:r w:rsidR="00370F6C">
              <w:rPr>
                <w:webHidden/>
              </w:rPr>
              <w:fldChar w:fldCharType="end"/>
            </w:r>
          </w:hyperlink>
        </w:p>
        <w:p w14:paraId="468E34EC" w14:textId="3B4CB5FA" w:rsidR="00370F6C" w:rsidRDefault="002214E6">
          <w:pPr>
            <w:pStyle w:val="TOC4"/>
            <w:tabs>
              <w:tab w:val="left" w:pos="2880"/>
            </w:tabs>
            <w:rPr>
              <w:rFonts w:asciiTheme="minorHAnsi" w:eastAsiaTheme="minorEastAsia" w:hAnsiTheme="minorHAnsi" w:cstheme="minorBidi"/>
              <w:kern w:val="2"/>
              <w:szCs w:val="24"/>
              <w:lang w:val="en-IE" w:eastAsia="en-IE"/>
              <w14:ligatures w14:val="standardContextual"/>
            </w:rPr>
          </w:pPr>
          <w:hyperlink w:anchor="_Toc234227871" w:history="1">
            <w:r w:rsidR="00370F6C" w:rsidRPr="00FC263E">
              <w:rPr>
                <w:rStyle w:val="Hyperlink"/>
              </w:rPr>
              <w:t>5.2.3.3.</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Feedback from stakeholders</w:t>
            </w:r>
            <w:r w:rsidR="00370F6C">
              <w:rPr>
                <w:webHidden/>
              </w:rPr>
              <w:tab/>
            </w:r>
            <w:r w:rsidR="00370F6C">
              <w:rPr>
                <w:webHidden/>
              </w:rPr>
              <w:fldChar w:fldCharType="begin"/>
            </w:r>
            <w:r w:rsidR="00370F6C">
              <w:rPr>
                <w:webHidden/>
              </w:rPr>
              <w:instrText xml:space="preserve"> PAGEREF _Toc234227871 \h </w:instrText>
            </w:r>
            <w:r w:rsidR="00370F6C">
              <w:rPr>
                <w:webHidden/>
              </w:rPr>
            </w:r>
            <w:r w:rsidR="00370F6C">
              <w:rPr>
                <w:webHidden/>
              </w:rPr>
              <w:fldChar w:fldCharType="separate"/>
            </w:r>
            <w:r w:rsidR="00370F6C">
              <w:rPr>
                <w:webHidden/>
              </w:rPr>
              <w:t>39</w:t>
            </w:r>
            <w:r w:rsidR="00370F6C">
              <w:rPr>
                <w:webHidden/>
              </w:rPr>
              <w:fldChar w:fldCharType="end"/>
            </w:r>
          </w:hyperlink>
        </w:p>
        <w:p w14:paraId="58912BC2" w14:textId="3120F6D8" w:rsidR="00370F6C" w:rsidRDefault="002214E6">
          <w:pPr>
            <w:pStyle w:val="TOC4"/>
            <w:tabs>
              <w:tab w:val="left" w:pos="2880"/>
            </w:tabs>
            <w:rPr>
              <w:rFonts w:asciiTheme="minorHAnsi" w:eastAsiaTheme="minorEastAsia" w:hAnsiTheme="minorHAnsi" w:cstheme="minorBidi"/>
              <w:kern w:val="2"/>
              <w:szCs w:val="24"/>
              <w:lang w:val="en-IE" w:eastAsia="en-IE"/>
              <w14:ligatures w14:val="standardContextual"/>
            </w:rPr>
          </w:pPr>
          <w:hyperlink w:anchor="_Toc234227872" w:history="1">
            <w:r w:rsidR="00370F6C" w:rsidRPr="00FC263E">
              <w:rPr>
                <w:rStyle w:val="Hyperlink"/>
                <w:lang w:val="en-IE"/>
              </w:rPr>
              <w:t>5.2.3.4.</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lang w:val="en-IE"/>
              </w:rPr>
              <w:t>The FSR Review Study</w:t>
            </w:r>
            <w:r w:rsidR="00370F6C">
              <w:rPr>
                <w:webHidden/>
              </w:rPr>
              <w:tab/>
            </w:r>
            <w:r w:rsidR="00370F6C">
              <w:rPr>
                <w:webHidden/>
              </w:rPr>
              <w:fldChar w:fldCharType="begin"/>
            </w:r>
            <w:r w:rsidR="00370F6C">
              <w:rPr>
                <w:webHidden/>
              </w:rPr>
              <w:instrText xml:space="preserve"> PAGEREF _Toc234227872 \h </w:instrText>
            </w:r>
            <w:r w:rsidR="00370F6C">
              <w:rPr>
                <w:webHidden/>
              </w:rPr>
            </w:r>
            <w:r w:rsidR="00370F6C">
              <w:rPr>
                <w:webHidden/>
              </w:rPr>
              <w:fldChar w:fldCharType="separate"/>
            </w:r>
            <w:r w:rsidR="00370F6C">
              <w:rPr>
                <w:webHidden/>
              </w:rPr>
              <w:t>40</w:t>
            </w:r>
            <w:r w:rsidR="00370F6C">
              <w:rPr>
                <w:webHidden/>
              </w:rPr>
              <w:fldChar w:fldCharType="end"/>
            </w:r>
          </w:hyperlink>
        </w:p>
        <w:p w14:paraId="54488C24" w14:textId="2110807F" w:rsidR="00370F6C" w:rsidRDefault="002214E6">
          <w:pPr>
            <w:pStyle w:val="TOC4"/>
            <w:tabs>
              <w:tab w:val="left" w:pos="2880"/>
            </w:tabs>
            <w:rPr>
              <w:rFonts w:asciiTheme="minorHAnsi" w:eastAsiaTheme="minorEastAsia" w:hAnsiTheme="minorHAnsi" w:cstheme="minorBidi"/>
              <w:kern w:val="2"/>
              <w:szCs w:val="24"/>
              <w:lang w:val="en-IE" w:eastAsia="en-IE"/>
              <w14:ligatures w14:val="standardContextual"/>
            </w:rPr>
          </w:pPr>
          <w:hyperlink w:anchor="_Toc234227873" w:history="1">
            <w:r w:rsidR="00370F6C" w:rsidRPr="00FC263E">
              <w:rPr>
                <w:rStyle w:val="Hyperlink"/>
                <w:lang w:val="en-IE"/>
              </w:rPr>
              <w:t>5.2.3.5.</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lang w:val="en-IE"/>
              </w:rPr>
              <w:t xml:space="preserve">The </w:t>
            </w:r>
            <w:r w:rsidR="00370F6C" w:rsidRPr="00FC263E">
              <w:rPr>
                <w:rStyle w:val="Hyperlink"/>
              </w:rPr>
              <w:t>Commission services’</w:t>
            </w:r>
            <w:r w:rsidR="00370F6C" w:rsidRPr="00FC263E">
              <w:rPr>
                <w:rStyle w:val="Hyperlink"/>
                <w:lang w:val="en-IE"/>
              </w:rPr>
              <w:t xml:space="preserve"> assessment</w:t>
            </w:r>
            <w:r w:rsidR="00370F6C">
              <w:rPr>
                <w:webHidden/>
              </w:rPr>
              <w:tab/>
            </w:r>
            <w:r w:rsidR="00370F6C">
              <w:rPr>
                <w:webHidden/>
              </w:rPr>
              <w:fldChar w:fldCharType="begin"/>
            </w:r>
            <w:r w:rsidR="00370F6C">
              <w:rPr>
                <w:webHidden/>
              </w:rPr>
              <w:instrText xml:space="preserve"> PAGEREF _Toc234227873 \h </w:instrText>
            </w:r>
            <w:r w:rsidR="00370F6C">
              <w:rPr>
                <w:webHidden/>
              </w:rPr>
            </w:r>
            <w:r w:rsidR="00370F6C">
              <w:rPr>
                <w:webHidden/>
              </w:rPr>
              <w:fldChar w:fldCharType="separate"/>
            </w:r>
            <w:r w:rsidR="00370F6C">
              <w:rPr>
                <w:webHidden/>
              </w:rPr>
              <w:t>40</w:t>
            </w:r>
            <w:r w:rsidR="00370F6C">
              <w:rPr>
                <w:webHidden/>
              </w:rPr>
              <w:fldChar w:fldCharType="end"/>
            </w:r>
          </w:hyperlink>
        </w:p>
        <w:p w14:paraId="7E3512AC" w14:textId="53D59A2F"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74" w:history="1">
            <w:r w:rsidR="00370F6C" w:rsidRPr="00FC263E">
              <w:rPr>
                <w:rStyle w:val="Hyperlink"/>
                <w:noProof/>
              </w:rPr>
              <w:t>5.2.4.</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Submissions in public procurement procedures</w:t>
            </w:r>
            <w:r w:rsidR="00370F6C">
              <w:rPr>
                <w:noProof/>
                <w:webHidden/>
              </w:rPr>
              <w:tab/>
            </w:r>
            <w:r w:rsidR="00370F6C">
              <w:rPr>
                <w:noProof/>
                <w:webHidden/>
              </w:rPr>
              <w:fldChar w:fldCharType="begin"/>
            </w:r>
            <w:r w:rsidR="00370F6C">
              <w:rPr>
                <w:noProof/>
                <w:webHidden/>
              </w:rPr>
              <w:instrText xml:space="preserve"> PAGEREF _Toc234227874 \h </w:instrText>
            </w:r>
            <w:r w:rsidR="00370F6C">
              <w:rPr>
                <w:noProof/>
                <w:webHidden/>
              </w:rPr>
            </w:r>
            <w:r w:rsidR="00370F6C">
              <w:rPr>
                <w:noProof/>
                <w:webHidden/>
              </w:rPr>
              <w:fldChar w:fldCharType="separate"/>
            </w:r>
            <w:r w:rsidR="00370F6C">
              <w:rPr>
                <w:noProof/>
                <w:webHidden/>
              </w:rPr>
              <w:t>42</w:t>
            </w:r>
            <w:r w:rsidR="00370F6C">
              <w:rPr>
                <w:noProof/>
                <w:webHidden/>
              </w:rPr>
              <w:fldChar w:fldCharType="end"/>
            </w:r>
          </w:hyperlink>
        </w:p>
        <w:p w14:paraId="551A4945" w14:textId="51AC550A" w:rsidR="00370F6C" w:rsidRDefault="002214E6">
          <w:pPr>
            <w:pStyle w:val="TOC4"/>
            <w:tabs>
              <w:tab w:val="left" w:pos="2880"/>
            </w:tabs>
            <w:rPr>
              <w:rFonts w:asciiTheme="minorHAnsi" w:eastAsiaTheme="minorEastAsia" w:hAnsiTheme="minorHAnsi" w:cstheme="minorBidi"/>
              <w:kern w:val="2"/>
              <w:szCs w:val="24"/>
              <w:lang w:val="en-IE" w:eastAsia="en-IE"/>
              <w14:ligatures w14:val="standardContextual"/>
            </w:rPr>
          </w:pPr>
          <w:hyperlink w:anchor="_Toc234227875" w:history="1">
            <w:r w:rsidR="00370F6C" w:rsidRPr="00FC263E">
              <w:rPr>
                <w:rStyle w:val="Hyperlink"/>
                <w:rFonts w:eastAsia="Yu Gothic"/>
              </w:rPr>
              <w:t>5.2.4.1.</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Fonts w:eastAsia="Yu Gothic"/>
              </w:rPr>
              <w:t>Information on cases</w:t>
            </w:r>
            <w:r w:rsidR="00370F6C">
              <w:rPr>
                <w:webHidden/>
              </w:rPr>
              <w:tab/>
            </w:r>
            <w:r w:rsidR="00370F6C">
              <w:rPr>
                <w:webHidden/>
              </w:rPr>
              <w:fldChar w:fldCharType="begin"/>
            </w:r>
            <w:r w:rsidR="00370F6C">
              <w:rPr>
                <w:webHidden/>
              </w:rPr>
              <w:instrText xml:space="preserve"> PAGEREF _Toc234227875 \h </w:instrText>
            </w:r>
            <w:r w:rsidR="00370F6C">
              <w:rPr>
                <w:webHidden/>
              </w:rPr>
            </w:r>
            <w:r w:rsidR="00370F6C">
              <w:rPr>
                <w:webHidden/>
              </w:rPr>
              <w:fldChar w:fldCharType="separate"/>
            </w:r>
            <w:r w:rsidR="00370F6C">
              <w:rPr>
                <w:webHidden/>
              </w:rPr>
              <w:t>42</w:t>
            </w:r>
            <w:r w:rsidR="00370F6C">
              <w:rPr>
                <w:webHidden/>
              </w:rPr>
              <w:fldChar w:fldCharType="end"/>
            </w:r>
          </w:hyperlink>
        </w:p>
        <w:p w14:paraId="6C79AE69" w14:textId="5872706B" w:rsidR="00370F6C" w:rsidRDefault="002214E6">
          <w:pPr>
            <w:pStyle w:val="TOC4"/>
            <w:tabs>
              <w:tab w:val="left" w:pos="2880"/>
            </w:tabs>
            <w:rPr>
              <w:rFonts w:asciiTheme="minorHAnsi" w:eastAsiaTheme="minorEastAsia" w:hAnsiTheme="minorHAnsi" w:cstheme="minorBidi"/>
              <w:kern w:val="2"/>
              <w:szCs w:val="24"/>
              <w:lang w:val="en-IE" w:eastAsia="en-IE"/>
              <w14:ligatures w14:val="standardContextual"/>
            </w:rPr>
          </w:pPr>
          <w:hyperlink w:anchor="_Toc234227876" w:history="1">
            <w:r w:rsidR="00370F6C" w:rsidRPr="00FC263E">
              <w:rPr>
                <w:rStyle w:val="Hyperlink"/>
              </w:rPr>
              <w:t>5.2.4.2.</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Detailed analysis of the Commission’s practice</w:t>
            </w:r>
            <w:r w:rsidR="00370F6C">
              <w:rPr>
                <w:webHidden/>
              </w:rPr>
              <w:tab/>
            </w:r>
            <w:r w:rsidR="00370F6C">
              <w:rPr>
                <w:webHidden/>
              </w:rPr>
              <w:fldChar w:fldCharType="begin"/>
            </w:r>
            <w:r w:rsidR="00370F6C">
              <w:rPr>
                <w:webHidden/>
              </w:rPr>
              <w:instrText xml:space="preserve"> PAGEREF _Toc234227876 \h </w:instrText>
            </w:r>
            <w:r w:rsidR="00370F6C">
              <w:rPr>
                <w:webHidden/>
              </w:rPr>
            </w:r>
            <w:r w:rsidR="00370F6C">
              <w:rPr>
                <w:webHidden/>
              </w:rPr>
              <w:fldChar w:fldCharType="separate"/>
            </w:r>
            <w:r w:rsidR="00370F6C">
              <w:rPr>
                <w:webHidden/>
              </w:rPr>
              <w:t>44</w:t>
            </w:r>
            <w:r w:rsidR="00370F6C">
              <w:rPr>
                <w:webHidden/>
              </w:rPr>
              <w:fldChar w:fldCharType="end"/>
            </w:r>
          </w:hyperlink>
        </w:p>
        <w:p w14:paraId="1324E3E4" w14:textId="3EDE4938" w:rsidR="00370F6C" w:rsidRDefault="002214E6">
          <w:pPr>
            <w:pStyle w:val="TOC4"/>
            <w:tabs>
              <w:tab w:val="left" w:pos="2880"/>
            </w:tabs>
            <w:rPr>
              <w:rFonts w:asciiTheme="minorHAnsi" w:eastAsiaTheme="minorEastAsia" w:hAnsiTheme="minorHAnsi" w:cstheme="minorBidi"/>
              <w:kern w:val="2"/>
              <w:szCs w:val="24"/>
              <w:lang w:val="en-IE" w:eastAsia="en-IE"/>
              <w14:ligatures w14:val="standardContextual"/>
            </w:rPr>
          </w:pPr>
          <w:hyperlink w:anchor="_Toc234227877" w:history="1">
            <w:r w:rsidR="00370F6C" w:rsidRPr="00FC263E">
              <w:rPr>
                <w:rStyle w:val="Hyperlink"/>
                <w:lang w:eastAsia="en-IE"/>
              </w:rPr>
              <w:t>5.2.4.3.</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Enhanced legal guidance and procedural support</w:t>
            </w:r>
            <w:r w:rsidR="00370F6C">
              <w:rPr>
                <w:webHidden/>
              </w:rPr>
              <w:tab/>
            </w:r>
            <w:r w:rsidR="00370F6C">
              <w:rPr>
                <w:webHidden/>
              </w:rPr>
              <w:fldChar w:fldCharType="begin"/>
            </w:r>
            <w:r w:rsidR="00370F6C">
              <w:rPr>
                <w:webHidden/>
              </w:rPr>
              <w:instrText xml:space="preserve"> PAGEREF _Toc234227877 \h </w:instrText>
            </w:r>
            <w:r w:rsidR="00370F6C">
              <w:rPr>
                <w:webHidden/>
              </w:rPr>
            </w:r>
            <w:r w:rsidR="00370F6C">
              <w:rPr>
                <w:webHidden/>
              </w:rPr>
              <w:fldChar w:fldCharType="separate"/>
            </w:r>
            <w:r w:rsidR="00370F6C">
              <w:rPr>
                <w:webHidden/>
              </w:rPr>
              <w:t>53</w:t>
            </w:r>
            <w:r w:rsidR="00370F6C">
              <w:rPr>
                <w:webHidden/>
              </w:rPr>
              <w:fldChar w:fldCharType="end"/>
            </w:r>
          </w:hyperlink>
        </w:p>
        <w:p w14:paraId="09474B1E" w14:textId="05FECFAF" w:rsidR="00370F6C" w:rsidRDefault="002214E6">
          <w:pPr>
            <w:pStyle w:val="TOC4"/>
            <w:tabs>
              <w:tab w:val="left" w:pos="2880"/>
            </w:tabs>
            <w:rPr>
              <w:rFonts w:asciiTheme="minorHAnsi" w:eastAsiaTheme="minorEastAsia" w:hAnsiTheme="minorHAnsi" w:cstheme="minorBidi"/>
              <w:kern w:val="2"/>
              <w:szCs w:val="24"/>
              <w:lang w:val="en-IE" w:eastAsia="en-IE"/>
              <w14:ligatures w14:val="standardContextual"/>
            </w:rPr>
          </w:pPr>
          <w:hyperlink w:anchor="_Toc234227878" w:history="1">
            <w:r w:rsidR="00370F6C" w:rsidRPr="00FC263E">
              <w:rPr>
                <w:rStyle w:val="Hyperlink"/>
              </w:rPr>
              <w:t>5.2.4.4.</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Engagement of Member States in FSR enforcement</w:t>
            </w:r>
            <w:r w:rsidR="00370F6C">
              <w:rPr>
                <w:webHidden/>
              </w:rPr>
              <w:tab/>
            </w:r>
            <w:r w:rsidR="00370F6C">
              <w:rPr>
                <w:webHidden/>
              </w:rPr>
              <w:fldChar w:fldCharType="begin"/>
            </w:r>
            <w:r w:rsidR="00370F6C">
              <w:rPr>
                <w:webHidden/>
              </w:rPr>
              <w:instrText xml:space="preserve"> PAGEREF _Toc234227878 \h </w:instrText>
            </w:r>
            <w:r w:rsidR="00370F6C">
              <w:rPr>
                <w:webHidden/>
              </w:rPr>
            </w:r>
            <w:r w:rsidR="00370F6C">
              <w:rPr>
                <w:webHidden/>
              </w:rPr>
              <w:fldChar w:fldCharType="separate"/>
            </w:r>
            <w:r w:rsidR="00370F6C">
              <w:rPr>
                <w:webHidden/>
              </w:rPr>
              <w:t>54</w:t>
            </w:r>
            <w:r w:rsidR="00370F6C">
              <w:rPr>
                <w:webHidden/>
              </w:rPr>
              <w:fldChar w:fldCharType="end"/>
            </w:r>
          </w:hyperlink>
        </w:p>
        <w:p w14:paraId="0F197499" w14:textId="0563D777" w:rsidR="00370F6C" w:rsidRDefault="002214E6">
          <w:pPr>
            <w:pStyle w:val="TOC4"/>
            <w:tabs>
              <w:tab w:val="left" w:pos="2880"/>
            </w:tabs>
            <w:rPr>
              <w:rFonts w:asciiTheme="minorHAnsi" w:eastAsiaTheme="minorEastAsia" w:hAnsiTheme="minorHAnsi" w:cstheme="minorBidi"/>
              <w:kern w:val="2"/>
              <w:szCs w:val="24"/>
              <w:lang w:val="en-IE" w:eastAsia="en-IE"/>
              <w14:ligatures w14:val="standardContextual"/>
            </w:rPr>
          </w:pPr>
          <w:hyperlink w:anchor="_Toc234227879" w:history="1">
            <w:r w:rsidR="00370F6C" w:rsidRPr="00FC263E">
              <w:rPr>
                <w:rStyle w:val="Hyperlink"/>
              </w:rPr>
              <w:t>5.2.4.5.</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Feedback from stakeholders</w:t>
            </w:r>
            <w:r w:rsidR="00370F6C">
              <w:rPr>
                <w:webHidden/>
              </w:rPr>
              <w:tab/>
            </w:r>
            <w:r w:rsidR="00370F6C">
              <w:rPr>
                <w:webHidden/>
              </w:rPr>
              <w:fldChar w:fldCharType="begin"/>
            </w:r>
            <w:r w:rsidR="00370F6C">
              <w:rPr>
                <w:webHidden/>
              </w:rPr>
              <w:instrText xml:space="preserve"> PAGEREF _Toc234227879 \h </w:instrText>
            </w:r>
            <w:r w:rsidR="00370F6C">
              <w:rPr>
                <w:webHidden/>
              </w:rPr>
            </w:r>
            <w:r w:rsidR="00370F6C">
              <w:rPr>
                <w:webHidden/>
              </w:rPr>
              <w:fldChar w:fldCharType="separate"/>
            </w:r>
            <w:r w:rsidR="00370F6C">
              <w:rPr>
                <w:webHidden/>
              </w:rPr>
              <w:t>54</w:t>
            </w:r>
            <w:r w:rsidR="00370F6C">
              <w:rPr>
                <w:webHidden/>
              </w:rPr>
              <w:fldChar w:fldCharType="end"/>
            </w:r>
          </w:hyperlink>
        </w:p>
        <w:p w14:paraId="5E9ADBFC" w14:textId="58F85821" w:rsidR="00370F6C" w:rsidRDefault="002214E6">
          <w:pPr>
            <w:pStyle w:val="TOC4"/>
            <w:tabs>
              <w:tab w:val="left" w:pos="2880"/>
            </w:tabs>
            <w:rPr>
              <w:rFonts w:asciiTheme="minorHAnsi" w:eastAsiaTheme="minorEastAsia" w:hAnsiTheme="minorHAnsi" w:cstheme="minorBidi"/>
              <w:kern w:val="2"/>
              <w:szCs w:val="24"/>
              <w:lang w:val="en-IE" w:eastAsia="en-IE"/>
              <w14:ligatures w14:val="standardContextual"/>
            </w:rPr>
          </w:pPr>
          <w:hyperlink w:anchor="_Toc234227880" w:history="1">
            <w:r w:rsidR="00370F6C" w:rsidRPr="00FC263E">
              <w:rPr>
                <w:rStyle w:val="Hyperlink"/>
              </w:rPr>
              <w:t>5.2.4.6.</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The FSR Review Study</w:t>
            </w:r>
            <w:r w:rsidR="00370F6C">
              <w:rPr>
                <w:webHidden/>
              </w:rPr>
              <w:tab/>
            </w:r>
            <w:r w:rsidR="00370F6C">
              <w:rPr>
                <w:webHidden/>
              </w:rPr>
              <w:fldChar w:fldCharType="begin"/>
            </w:r>
            <w:r w:rsidR="00370F6C">
              <w:rPr>
                <w:webHidden/>
              </w:rPr>
              <w:instrText xml:space="preserve"> PAGEREF _Toc234227880 \h </w:instrText>
            </w:r>
            <w:r w:rsidR="00370F6C">
              <w:rPr>
                <w:webHidden/>
              </w:rPr>
            </w:r>
            <w:r w:rsidR="00370F6C">
              <w:rPr>
                <w:webHidden/>
              </w:rPr>
              <w:fldChar w:fldCharType="separate"/>
            </w:r>
            <w:r w:rsidR="00370F6C">
              <w:rPr>
                <w:webHidden/>
              </w:rPr>
              <w:t>56</w:t>
            </w:r>
            <w:r w:rsidR="00370F6C">
              <w:rPr>
                <w:webHidden/>
              </w:rPr>
              <w:fldChar w:fldCharType="end"/>
            </w:r>
          </w:hyperlink>
        </w:p>
        <w:p w14:paraId="75F63A8B" w14:textId="73554FAE" w:rsidR="00370F6C" w:rsidRDefault="002214E6">
          <w:pPr>
            <w:pStyle w:val="TOC4"/>
            <w:tabs>
              <w:tab w:val="left" w:pos="2880"/>
            </w:tabs>
            <w:rPr>
              <w:rFonts w:asciiTheme="minorHAnsi" w:eastAsiaTheme="minorEastAsia" w:hAnsiTheme="minorHAnsi" w:cstheme="minorBidi"/>
              <w:kern w:val="2"/>
              <w:szCs w:val="24"/>
              <w:lang w:val="en-IE" w:eastAsia="en-IE"/>
              <w14:ligatures w14:val="standardContextual"/>
            </w:rPr>
          </w:pPr>
          <w:hyperlink w:anchor="_Toc234227881" w:history="1">
            <w:r w:rsidR="00370F6C" w:rsidRPr="00FC263E">
              <w:rPr>
                <w:rStyle w:val="Hyperlink"/>
                <w:lang w:eastAsia="en-IE"/>
              </w:rPr>
              <w:t>5.2.4.7.</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lang w:eastAsia="en-IE"/>
              </w:rPr>
              <w:t>The Commission’s assessment</w:t>
            </w:r>
            <w:r w:rsidR="00370F6C">
              <w:rPr>
                <w:webHidden/>
              </w:rPr>
              <w:tab/>
            </w:r>
            <w:r w:rsidR="00370F6C">
              <w:rPr>
                <w:webHidden/>
              </w:rPr>
              <w:fldChar w:fldCharType="begin"/>
            </w:r>
            <w:r w:rsidR="00370F6C">
              <w:rPr>
                <w:webHidden/>
              </w:rPr>
              <w:instrText xml:space="preserve"> PAGEREF _Toc234227881 \h </w:instrText>
            </w:r>
            <w:r w:rsidR="00370F6C">
              <w:rPr>
                <w:webHidden/>
              </w:rPr>
            </w:r>
            <w:r w:rsidR="00370F6C">
              <w:rPr>
                <w:webHidden/>
              </w:rPr>
              <w:fldChar w:fldCharType="separate"/>
            </w:r>
            <w:r w:rsidR="00370F6C">
              <w:rPr>
                <w:webHidden/>
              </w:rPr>
              <w:t>57</w:t>
            </w:r>
            <w:r w:rsidR="00370F6C">
              <w:rPr>
                <w:webHidden/>
              </w:rPr>
              <w:fldChar w:fldCharType="end"/>
            </w:r>
          </w:hyperlink>
        </w:p>
        <w:p w14:paraId="0230EB33" w14:textId="3FD05DDC" w:rsidR="00370F6C" w:rsidRDefault="002214E6">
          <w:pPr>
            <w:pStyle w:val="TOC2"/>
            <w:tabs>
              <w:tab w:val="left" w:pos="1916"/>
            </w:tabs>
            <w:rPr>
              <w:rFonts w:asciiTheme="minorHAnsi" w:eastAsiaTheme="minorEastAsia" w:hAnsiTheme="minorHAnsi" w:cstheme="minorBidi"/>
              <w:kern w:val="2"/>
              <w:szCs w:val="24"/>
              <w:lang w:val="en-IE" w:eastAsia="en-IE"/>
              <w14:ligatures w14:val="standardContextual"/>
            </w:rPr>
          </w:pPr>
          <w:hyperlink w:anchor="_Toc234227882" w:history="1">
            <w:r w:rsidR="00370F6C" w:rsidRPr="00FC263E">
              <w:rPr>
                <w:rStyle w:val="Hyperlink"/>
              </w:rPr>
              <w:t>5.3.</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Developments in third countries’ subsidy control systems</w:t>
            </w:r>
            <w:r w:rsidR="00370F6C">
              <w:rPr>
                <w:webHidden/>
              </w:rPr>
              <w:tab/>
            </w:r>
            <w:r w:rsidR="00370F6C">
              <w:rPr>
                <w:webHidden/>
              </w:rPr>
              <w:fldChar w:fldCharType="begin"/>
            </w:r>
            <w:r w:rsidR="00370F6C">
              <w:rPr>
                <w:webHidden/>
              </w:rPr>
              <w:instrText xml:space="preserve"> PAGEREF _Toc234227882 \h </w:instrText>
            </w:r>
            <w:r w:rsidR="00370F6C">
              <w:rPr>
                <w:webHidden/>
              </w:rPr>
            </w:r>
            <w:r w:rsidR="00370F6C">
              <w:rPr>
                <w:webHidden/>
              </w:rPr>
              <w:fldChar w:fldCharType="separate"/>
            </w:r>
            <w:r w:rsidR="00370F6C">
              <w:rPr>
                <w:webHidden/>
              </w:rPr>
              <w:t>59</w:t>
            </w:r>
            <w:r w:rsidR="00370F6C">
              <w:rPr>
                <w:webHidden/>
              </w:rPr>
              <w:fldChar w:fldCharType="end"/>
            </w:r>
          </w:hyperlink>
        </w:p>
        <w:p w14:paraId="29BBAB04" w14:textId="1750FC75"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83" w:history="1">
            <w:r w:rsidR="00370F6C" w:rsidRPr="00FC263E">
              <w:rPr>
                <w:rStyle w:val="Hyperlink"/>
                <w:bCs/>
                <w:noProof/>
              </w:rPr>
              <w:t>5.3.1.</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Introduction</w:t>
            </w:r>
            <w:r w:rsidR="00370F6C">
              <w:rPr>
                <w:noProof/>
                <w:webHidden/>
              </w:rPr>
              <w:tab/>
            </w:r>
            <w:r w:rsidR="00370F6C">
              <w:rPr>
                <w:noProof/>
                <w:webHidden/>
              </w:rPr>
              <w:fldChar w:fldCharType="begin"/>
            </w:r>
            <w:r w:rsidR="00370F6C">
              <w:rPr>
                <w:noProof/>
                <w:webHidden/>
              </w:rPr>
              <w:instrText xml:space="preserve"> PAGEREF _Toc234227883 \h </w:instrText>
            </w:r>
            <w:r w:rsidR="00370F6C">
              <w:rPr>
                <w:noProof/>
                <w:webHidden/>
              </w:rPr>
            </w:r>
            <w:r w:rsidR="00370F6C">
              <w:rPr>
                <w:noProof/>
                <w:webHidden/>
              </w:rPr>
              <w:fldChar w:fldCharType="separate"/>
            </w:r>
            <w:r w:rsidR="00370F6C">
              <w:rPr>
                <w:noProof/>
                <w:webHidden/>
              </w:rPr>
              <w:t>59</w:t>
            </w:r>
            <w:r w:rsidR="00370F6C">
              <w:rPr>
                <w:noProof/>
                <w:webHidden/>
              </w:rPr>
              <w:fldChar w:fldCharType="end"/>
            </w:r>
          </w:hyperlink>
        </w:p>
        <w:p w14:paraId="1F9C87BB" w14:textId="11913754"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84" w:history="1">
            <w:r w:rsidR="00370F6C" w:rsidRPr="00FC263E">
              <w:rPr>
                <w:rStyle w:val="Hyperlink"/>
                <w:iCs/>
                <w:noProof/>
              </w:rPr>
              <w:t>5.3.2.</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Analysis</w:t>
            </w:r>
            <w:r w:rsidR="00370F6C">
              <w:rPr>
                <w:noProof/>
                <w:webHidden/>
              </w:rPr>
              <w:tab/>
            </w:r>
            <w:r w:rsidR="00370F6C">
              <w:rPr>
                <w:noProof/>
                <w:webHidden/>
              </w:rPr>
              <w:fldChar w:fldCharType="begin"/>
            </w:r>
            <w:r w:rsidR="00370F6C">
              <w:rPr>
                <w:noProof/>
                <w:webHidden/>
              </w:rPr>
              <w:instrText xml:space="preserve"> PAGEREF _Toc234227884 \h </w:instrText>
            </w:r>
            <w:r w:rsidR="00370F6C">
              <w:rPr>
                <w:noProof/>
                <w:webHidden/>
              </w:rPr>
            </w:r>
            <w:r w:rsidR="00370F6C">
              <w:rPr>
                <w:noProof/>
                <w:webHidden/>
              </w:rPr>
              <w:fldChar w:fldCharType="separate"/>
            </w:r>
            <w:r w:rsidR="00370F6C">
              <w:rPr>
                <w:noProof/>
                <w:webHidden/>
              </w:rPr>
              <w:t>60</w:t>
            </w:r>
            <w:r w:rsidR="00370F6C">
              <w:rPr>
                <w:noProof/>
                <w:webHidden/>
              </w:rPr>
              <w:fldChar w:fldCharType="end"/>
            </w:r>
          </w:hyperlink>
        </w:p>
        <w:p w14:paraId="530FE228" w14:textId="3F9AE1A4" w:rsidR="00370F6C" w:rsidRDefault="002214E6">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34227885" w:history="1">
            <w:r w:rsidR="00370F6C" w:rsidRPr="00FC263E">
              <w:rPr>
                <w:rStyle w:val="Hyperlink"/>
                <w:iCs/>
                <w:noProof/>
              </w:rPr>
              <w:t>5.3.3.</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Conclusion</w:t>
            </w:r>
            <w:r w:rsidR="00370F6C">
              <w:rPr>
                <w:noProof/>
                <w:webHidden/>
              </w:rPr>
              <w:tab/>
            </w:r>
            <w:r w:rsidR="00370F6C">
              <w:rPr>
                <w:noProof/>
                <w:webHidden/>
              </w:rPr>
              <w:fldChar w:fldCharType="begin"/>
            </w:r>
            <w:r w:rsidR="00370F6C">
              <w:rPr>
                <w:noProof/>
                <w:webHidden/>
              </w:rPr>
              <w:instrText xml:space="preserve"> PAGEREF _Toc234227885 \h </w:instrText>
            </w:r>
            <w:r w:rsidR="00370F6C">
              <w:rPr>
                <w:noProof/>
                <w:webHidden/>
              </w:rPr>
            </w:r>
            <w:r w:rsidR="00370F6C">
              <w:rPr>
                <w:noProof/>
                <w:webHidden/>
              </w:rPr>
              <w:fldChar w:fldCharType="separate"/>
            </w:r>
            <w:r w:rsidR="00370F6C">
              <w:rPr>
                <w:noProof/>
                <w:webHidden/>
              </w:rPr>
              <w:t>61</w:t>
            </w:r>
            <w:r w:rsidR="00370F6C">
              <w:rPr>
                <w:noProof/>
                <w:webHidden/>
              </w:rPr>
              <w:fldChar w:fldCharType="end"/>
            </w:r>
          </w:hyperlink>
        </w:p>
        <w:p w14:paraId="2363EE7A" w14:textId="2E503466" w:rsidR="00370F6C" w:rsidRDefault="002214E6">
          <w:pPr>
            <w:pStyle w:val="TOC1"/>
            <w:rPr>
              <w:rFonts w:asciiTheme="minorHAnsi" w:eastAsiaTheme="minorEastAsia" w:hAnsiTheme="minorHAnsi" w:cstheme="minorBidi"/>
              <w:noProof/>
              <w:kern w:val="2"/>
              <w:szCs w:val="24"/>
              <w:lang w:val="en-IE" w:eastAsia="en-IE"/>
              <w14:ligatures w14:val="standardContextual"/>
            </w:rPr>
          </w:pPr>
          <w:hyperlink w:anchor="_Toc234227886" w:history="1">
            <w:r w:rsidR="00370F6C" w:rsidRPr="00FC263E">
              <w:rPr>
                <w:rStyle w:val="Hyperlink"/>
                <w:noProof/>
                <w:lang w:val="en-IE"/>
              </w:rPr>
              <w:t>6.</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ASSESSMENT OF THE EFFECTIVENESS OF THE FSR</w:t>
            </w:r>
            <w:r w:rsidR="00370F6C">
              <w:rPr>
                <w:noProof/>
                <w:webHidden/>
              </w:rPr>
              <w:tab/>
            </w:r>
            <w:r w:rsidR="00370F6C">
              <w:rPr>
                <w:noProof/>
                <w:webHidden/>
              </w:rPr>
              <w:fldChar w:fldCharType="begin"/>
            </w:r>
            <w:r w:rsidR="00370F6C">
              <w:rPr>
                <w:noProof/>
                <w:webHidden/>
              </w:rPr>
              <w:instrText xml:space="preserve"> PAGEREF _Toc234227886 \h </w:instrText>
            </w:r>
            <w:r w:rsidR="00370F6C">
              <w:rPr>
                <w:noProof/>
                <w:webHidden/>
              </w:rPr>
            </w:r>
            <w:r w:rsidR="00370F6C">
              <w:rPr>
                <w:noProof/>
                <w:webHidden/>
              </w:rPr>
              <w:fldChar w:fldCharType="separate"/>
            </w:r>
            <w:r w:rsidR="00370F6C">
              <w:rPr>
                <w:noProof/>
                <w:webHidden/>
              </w:rPr>
              <w:t>61</w:t>
            </w:r>
            <w:r w:rsidR="00370F6C">
              <w:rPr>
                <w:noProof/>
                <w:webHidden/>
              </w:rPr>
              <w:fldChar w:fldCharType="end"/>
            </w:r>
          </w:hyperlink>
        </w:p>
        <w:p w14:paraId="4BC07EE8" w14:textId="7C556476" w:rsidR="00370F6C" w:rsidRDefault="002214E6">
          <w:pPr>
            <w:pStyle w:val="TOC2"/>
            <w:tabs>
              <w:tab w:val="left" w:pos="1916"/>
            </w:tabs>
            <w:rPr>
              <w:rFonts w:asciiTheme="minorHAnsi" w:eastAsiaTheme="minorEastAsia" w:hAnsiTheme="minorHAnsi" w:cstheme="minorBidi"/>
              <w:kern w:val="2"/>
              <w:szCs w:val="24"/>
              <w:lang w:val="en-IE" w:eastAsia="en-IE"/>
              <w14:ligatures w14:val="standardContextual"/>
            </w:rPr>
          </w:pPr>
          <w:hyperlink w:anchor="_Toc234227887" w:history="1">
            <w:r w:rsidR="00370F6C" w:rsidRPr="00FC263E">
              <w:rPr>
                <w:rStyle w:val="Hyperlink"/>
              </w:rPr>
              <w:t>6.1.</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FSR in general and policy objectives</w:t>
            </w:r>
            <w:r w:rsidR="00370F6C">
              <w:rPr>
                <w:webHidden/>
              </w:rPr>
              <w:tab/>
            </w:r>
            <w:r w:rsidR="00370F6C">
              <w:rPr>
                <w:webHidden/>
              </w:rPr>
              <w:fldChar w:fldCharType="begin"/>
            </w:r>
            <w:r w:rsidR="00370F6C">
              <w:rPr>
                <w:webHidden/>
              </w:rPr>
              <w:instrText xml:space="preserve"> PAGEREF _Toc234227887 \h </w:instrText>
            </w:r>
            <w:r w:rsidR="00370F6C">
              <w:rPr>
                <w:webHidden/>
              </w:rPr>
            </w:r>
            <w:r w:rsidR="00370F6C">
              <w:rPr>
                <w:webHidden/>
              </w:rPr>
              <w:fldChar w:fldCharType="separate"/>
            </w:r>
            <w:r w:rsidR="00370F6C">
              <w:rPr>
                <w:webHidden/>
              </w:rPr>
              <w:t>61</w:t>
            </w:r>
            <w:r w:rsidR="00370F6C">
              <w:rPr>
                <w:webHidden/>
              </w:rPr>
              <w:fldChar w:fldCharType="end"/>
            </w:r>
          </w:hyperlink>
        </w:p>
        <w:p w14:paraId="32D17A26" w14:textId="48314552" w:rsidR="00370F6C" w:rsidRDefault="002214E6">
          <w:pPr>
            <w:pStyle w:val="TOC2"/>
            <w:tabs>
              <w:tab w:val="left" w:pos="1916"/>
            </w:tabs>
            <w:rPr>
              <w:rFonts w:asciiTheme="minorHAnsi" w:eastAsiaTheme="minorEastAsia" w:hAnsiTheme="minorHAnsi" w:cstheme="minorBidi"/>
              <w:kern w:val="2"/>
              <w:szCs w:val="24"/>
              <w:lang w:val="en-IE" w:eastAsia="en-IE"/>
              <w14:ligatures w14:val="standardContextual"/>
            </w:rPr>
          </w:pPr>
          <w:hyperlink w:anchor="_Toc234227888" w:history="1">
            <w:r w:rsidR="00370F6C" w:rsidRPr="00FC263E">
              <w:rPr>
                <w:rStyle w:val="Hyperlink"/>
              </w:rPr>
              <w:t>6.2.</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In relation to the ex officio procedure</w:t>
            </w:r>
            <w:r w:rsidR="00370F6C">
              <w:rPr>
                <w:webHidden/>
              </w:rPr>
              <w:tab/>
            </w:r>
            <w:r w:rsidR="00370F6C">
              <w:rPr>
                <w:webHidden/>
              </w:rPr>
              <w:fldChar w:fldCharType="begin"/>
            </w:r>
            <w:r w:rsidR="00370F6C">
              <w:rPr>
                <w:webHidden/>
              </w:rPr>
              <w:instrText xml:space="preserve"> PAGEREF _Toc234227888 \h </w:instrText>
            </w:r>
            <w:r w:rsidR="00370F6C">
              <w:rPr>
                <w:webHidden/>
              </w:rPr>
            </w:r>
            <w:r w:rsidR="00370F6C">
              <w:rPr>
                <w:webHidden/>
              </w:rPr>
              <w:fldChar w:fldCharType="separate"/>
            </w:r>
            <w:r w:rsidR="00370F6C">
              <w:rPr>
                <w:webHidden/>
              </w:rPr>
              <w:t>62</w:t>
            </w:r>
            <w:r w:rsidR="00370F6C">
              <w:rPr>
                <w:webHidden/>
              </w:rPr>
              <w:fldChar w:fldCharType="end"/>
            </w:r>
          </w:hyperlink>
        </w:p>
        <w:p w14:paraId="2947E4EA" w14:textId="35F0EEFE" w:rsidR="00370F6C" w:rsidRDefault="002214E6">
          <w:pPr>
            <w:pStyle w:val="TOC2"/>
            <w:tabs>
              <w:tab w:val="left" w:pos="1916"/>
            </w:tabs>
            <w:rPr>
              <w:rFonts w:asciiTheme="minorHAnsi" w:eastAsiaTheme="minorEastAsia" w:hAnsiTheme="minorHAnsi" w:cstheme="minorBidi"/>
              <w:kern w:val="2"/>
              <w:szCs w:val="24"/>
              <w:lang w:val="en-IE" w:eastAsia="en-IE"/>
              <w14:ligatures w14:val="standardContextual"/>
            </w:rPr>
          </w:pPr>
          <w:hyperlink w:anchor="_Toc234227889" w:history="1">
            <w:r w:rsidR="00370F6C" w:rsidRPr="00FC263E">
              <w:rPr>
                <w:rStyle w:val="Hyperlink"/>
                <w:lang w:val="en-IE"/>
              </w:rPr>
              <w:t>6.3.</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In relation to the notification procedure for concentrations</w:t>
            </w:r>
            <w:r w:rsidR="00370F6C">
              <w:rPr>
                <w:webHidden/>
              </w:rPr>
              <w:tab/>
            </w:r>
            <w:r w:rsidR="00370F6C">
              <w:rPr>
                <w:webHidden/>
              </w:rPr>
              <w:fldChar w:fldCharType="begin"/>
            </w:r>
            <w:r w:rsidR="00370F6C">
              <w:rPr>
                <w:webHidden/>
              </w:rPr>
              <w:instrText xml:space="preserve"> PAGEREF _Toc234227889 \h </w:instrText>
            </w:r>
            <w:r w:rsidR="00370F6C">
              <w:rPr>
                <w:webHidden/>
              </w:rPr>
            </w:r>
            <w:r w:rsidR="00370F6C">
              <w:rPr>
                <w:webHidden/>
              </w:rPr>
              <w:fldChar w:fldCharType="separate"/>
            </w:r>
            <w:r w:rsidR="00370F6C">
              <w:rPr>
                <w:webHidden/>
              </w:rPr>
              <w:t>62</w:t>
            </w:r>
            <w:r w:rsidR="00370F6C">
              <w:rPr>
                <w:webHidden/>
              </w:rPr>
              <w:fldChar w:fldCharType="end"/>
            </w:r>
          </w:hyperlink>
        </w:p>
        <w:p w14:paraId="4625A812" w14:textId="54F3E3D0" w:rsidR="00370F6C" w:rsidRDefault="002214E6">
          <w:pPr>
            <w:pStyle w:val="TOC2"/>
            <w:tabs>
              <w:tab w:val="left" w:pos="1916"/>
            </w:tabs>
            <w:rPr>
              <w:rFonts w:asciiTheme="minorHAnsi" w:eastAsiaTheme="minorEastAsia" w:hAnsiTheme="minorHAnsi" w:cstheme="minorBidi"/>
              <w:kern w:val="2"/>
              <w:szCs w:val="24"/>
              <w:lang w:val="en-IE" w:eastAsia="en-IE"/>
              <w14:ligatures w14:val="standardContextual"/>
            </w:rPr>
          </w:pPr>
          <w:hyperlink w:anchor="_Toc234227890" w:history="1">
            <w:r w:rsidR="00370F6C" w:rsidRPr="00FC263E">
              <w:rPr>
                <w:rStyle w:val="Hyperlink"/>
              </w:rPr>
              <w:t>6.4.</w:t>
            </w:r>
            <w:r w:rsidR="00370F6C">
              <w:rPr>
                <w:rFonts w:asciiTheme="minorHAnsi" w:eastAsiaTheme="minorEastAsia" w:hAnsiTheme="minorHAnsi" w:cstheme="minorBidi"/>
                <w:kern w:val="2"/>
                <w:szCs w:val="24"/>
                <w:lang w:val="en-IE" w:eastAsia="en-IE"/>
                <w14:ligatures w14:val="standardContextual"/>
              </w:rPr>
              <w:tab/>
            </w:r>
            <w:r w:rsidR="00370F6C" w:rsidRPr="00FC263E">
              <w:rPr>
                <w:rStyle w:val="Hyperlink"/>
              </w:rPr>
              <w:t>In relation to notifications in public procurement procedures</w:t>
            </w:r>
            <w:r w:rsidR="00370F6C">
              <w:rPr>
                <w:webHidden/>
              </w:rPr>
              <w:tab/>
            </w:r>
            <w:r w:rsidR="00370F6C">
              <w:rPr>
                <w:webHidden/>
              </w:rPr>
              <w:fldChar w:fldCharType="begin"/>
            </w:r>
            <w:r w:rsidR="00370F6C">
              <w:rPr>
                <w:webHidden/>
              </w:rPr>
              <w:instrText xml:space="preserve"> PAGEREF _Toc234227890 \h </w:instrText>
            </w:r>
            <w:r w:rsidR="00370F6C">
              <w:rPr>
                <w:webHidden/>
              </w:rPr>
            </w:r>
            <w:r w:rsidR="00370F6C">
              <w:rPr>
                <w:webHidden/>
              </w:rPr>
              <w:fldChar w:fldCharType="separate"/>
            </w:r>
            <w:r w:rsidR="00370F6C">
              <w:rPr>
                <w:webHidden/>
              </w:rPr>
              <w:t>63</w:t>
            </w:r>
            <w:r w:rsidR="00370F6C">
              <w:rPr>
                <w:webHidden/>
              </w:rPr>
              <w:fldChar w:fldCharType="end"/>
            </w:r>
          </w:hyperlink>
        </w:p>
        <w:p w14:paraId="2DAD83D2" w14:textId="2367BC05" w:rsidR="00370F6C" w:rsidRDefault="002214E6">
          <w:pPr>
            <w:pStyle w:val="TOC1"/>
            <w:rPr>
              <w:rFonts w:asciiTheme="minorHAnsi" w:eastAsiaTheme="minorEastAsia" w:hAnsiTheme="minorHAnsi" w:cstheme="minorBidi"/>
              <w:noProof/>
              <w:kern w:val="2"/>
              <w:szCs w:val="24"/>
              <w:lang w:val="en-IE" w:eastAsia="en-IE"/>
              <w14:ligatures w14:val="standardContextual"/>
            </w:rPr>
          </w:pPr>
          <w:hyperlink w:anchor="_Toc234227891" w:history="1">
            <w:r w:rsidR="00370F6C" w:rsidRPr="00FC263E">
              <w:rPr>
                <w:rStyle w:val="Hyperlink"/>
                <w:noProof/>
              </w:rPr>
              <w:t>7.</w:t>
            </w:r>
            <w:r w:rsidR="00370F6C">
              <w:rPr>
                <w:rFonts w:asciiTheme="minorHAnsi" w:eastAsiaTheme="minorEastAsia" w:hAnsiTheme="minorHAnsi" w:cstheme="minorBidi"/>
                <w:noProof/>
                <w:kern w:val="2"/>
                <w:szCs w:val="24"/>
                <w:lang w:val="en-IE" w:eastAsia="en-IE"/>
                <w14:ligatures w14:val="standardContextual"/>
              </w:rPr>
              <w:tab/>
            </w:r>
            <w:r w:rsidR="00370F6C" w:rsidRPr="00FC263E">
              <w:rPr>
                <w:rStyle w:val="Hyperlink"/>
                <w:noProof/>
              </w:rPr>
              <w:t>CONCLUSION</w:t>
            </w:r>
            <w:r w:rsidR="00370F6C">
              <w:rPr>
                <w:noProof/>
                <w:webHidden/>
              </w:rPr>
              <w:tab/>
            </w:r>
            <w:r w:rsidR="00370F6C">
              <w:rPr>
                <w:noProof/>
                <w:webHidden/>
              </w:rPr>
              <w:fldChar w:fldCharType="begin"/>
            </w:r>
            <w:r w:rsidR="00370F6C">
              <w:rPr>
                <w:noProof/>
                <w:webHidden/>
              </w:rPr>
              <w:instrText xml:space="preserve"> PAGEREF _Toc234227891 \h </w:instrText>
            </w:r>
            <w:r w:rsidR="00370F6C">
              <w:rPr>
                <w:noProof/>
                <w:webHidden/>
              </w:rPr>
            </w:r>
            <w:r w:rsidR="00370F6C">
              <w:rPr>
                <w:noProof/>
                <w:webHidden/>
              </w:rPr>
              <w:fldChar w:fldCharType="separate"/>
            </w:r>
            <w:r w:rsidR="00370F6C">
              <w:rPr>
                <w:noProof/>
                <w:webHidden/>
              </w:rPr>
              <w:t>63</w:t>
            </w:r>
            <w:r w:rsidR="00370F6C">
              <w:rPr>
                <w:noProof/>
                <w:webHidden/>
              </w:rPr>
              <w:fldChar w:fldCharType="end"/>
            </w:r>
          </w:hyperlink>
        </w:p>
        <w:p w14:paraId="7387EAA2" w14:textId="42CF6F9D" w:rsidR="00444145" w:rsidRDefault="00F27328">
          <w:pPr>
            <w:rPr>
              <w:b/>
              <w:bCs/>
              <w:noProof/>
            </w:rPr>
          </w:pPr>
          <w:r>
            <w:rPr>
              <w:noProof/>
            </w:rPr>
            <w:fldChar w:fldCharType="end"/>
          </w:r>
        </w:p>
        <w:p w14:paraId="14A2891B" w14:textId="16EE579C" w:rsidR="00444145" w:rsidRPr="00444145" w:rsidRDefault="00444145" w:rsidP="00444145">
          <w:pPr>
            <w:spacing w:after="0"/>
            <w:jc w:val="left"/>
            <w:rPr>
              <w:b/>
              <w:bCs/>
              <w:noProof/>
            </w:rPr>
          </w:pPr>
          <w:r>
            <w:rPr>
              <w:b/>
              <w:bCs/>
              <w:noProof/>
            </w:rPr>
            <w:br w:type="page"/>
          </w:r>
        </w:p>
      </w:sdtContent>
    </w:sdt>
    <w:p w14:paraId="1757B511" w14:textId="42433990" w:rsidR="00B11396" w:rsidRPr="008E336A" w:rsidRDefault="00885157" w:rsidP="00885157">
      <w:pPr>
        <w:pStyle w:val="Heading1"/>
        <w:rPr>
          <w:noProof/>
        </w:rPr>
      </w:pPr>
      <w:bookmarkStart w:id="2" w:name="_Toc234227826"/>
      <w:r w:rsidRPr="008E336A">
        <w:rPr>
          <w:noProof/>
        </w:rPr>
        <w:t>INTRODUCTION</w:t>
      </w:r>
      <w:bookmarkEnd w:id="2"/>
    </w:p>
    <w:p w14:paraId="5D77DB10" w14:textId="30B94DF6" w:rsidR="00B11396" w:rsidRDefault="00B11396" w:rsidP="008E336A">
      <w:pPr>
        <w:pStyle w:val="Heading2"/>
        <w:rPr>
          <w:noProof/>
        </w:rPr>
      </w:pPr>
      <w:bookmarkStart w:id="3" w:name="_Toc234227827"/>
      <w:r w:rsidRPr="008E336A">
        <w:rPr>
          <w:noProof/>
        </w:rPr>
        <w:t>Context</w:t>
      </w:r>
      <w:r>
        <w:rPr>
          <w:noProof/>
        </w:rPr>
        <w:t xml:space="preserve">: </w:t>
      </w:r>
      <w:r w:rsidR="008C35C0">
        <w:rPr>
          <w:noProof/>
        </w:rPr>
        <w:t xml:space="preserve">the Foreign Subsidies Regulation and its </w:t>
      </w:r>
      <w:r w:rsidDel="008C35C0">
        <w:rPr>
          <w:noProof/>
        </w:rPr>
        <w:t>objective</w:t>
      </w:r>
      <w:bookmarkEnd w:id="3"/>
    </w:p>
    <w:p w14:paraId="541724B4" w14:textId="64AF8BE2" w:rsidR="00675ACF" w:rsidRDefault="008C35C0" w:rsidP="004A1922">
      <w:pPr>
        <w:rPr>
          <w:noProof/>
        </w:rPr>
      </w:pPr>
      <w:r>
        <w:rPr>
          <w:noProof/>
        </w:rPr>
        <w:t xml:space="preserve">Regulation (EU) 2022/2560 </w:t>
      </w:r>
      <w:r w:rsidR="0086160A" w:rsidRPr="0086160A">
        <w:rPr>
          <w:noProof/>
        </w:rPr>
        <w:t xml:space="preserve">of the European Parliament and of the Council of </w:t>
      </w:r>
      <w:r w:rsidR="001E3CC7" w:rsidRPr="0086160A">
        <w:rPr>
          <w:noProof/>
        </w:rPr>
        <w:t>14</w:t>
      </w:r>
      <w:r w:rsidR="001E3CC7">
        <w:rPr>
          <w:noProof/>
        </w:rPr>
        <w:t> </w:t>
      </w:r>
      <w:r w:rsidR="0086160A" w:rsidRPr="0086160A">
        <w:rPr>
          <w:noProof/>
        </w:rPr>
        <w:t>December 2022</w:t>
      </w:r>
      <w:r w:rsidR="0086160A">
        <w:rPr>
          <w:noProof/>
        </w:rPr>
        <w:t xml:space="preserve"> </w:t>
      </w:r>
      <w:r>
        <w:rPr>
          <w:noProof/>
        </w:rPr>
        <w:t>on foreign subsidies distorting the internal market</w:t>
      </w:r>
      <w:r w:rsidR="00A16B12" w:rsidRPr="00A16B12">
        <w:rPr>
          <w:noProof/>
        </w:rPr>
        <w:t> (</w:t>
      </w:r>
      <w:r w:rsidR="00A16B12">
        <w:rPr>
          <w:rStyle w:val="FootnoteReference"/>
          <w:noProof/>
        </w:rPr>
        <w:footnoteReference w:id="1"/>
      </w:r>
      <w:r w:rsidR="00A16B12">
        <w:rPr>
          <w:noProof/>
        </w:rPr>
        <w:t>)</w:t>
      </w:r>
      <w:r>
        <w:rPr>
          <w:noProof/>
        </w:rPr>
        <w:t xml:space="preserve"> (the </w:t>
      </w:r>
      <w:r w:rsidR="00675ACF">
        <w:rPr>
          <w:noProof/>
        </w:rPr>
        <w:t>‘</w:t>
      </w:r>
      <w:r>
        <w:rPr>
          <w:noProof/>
        </w:rPr>
        <w:t>FSR</w:t>
      </w:r>
      <w:r w:rsidR="00675ACF">
        <w:rPr>
          <w:noProof/>
        </w:rPr>
        <w:t>’</w:t>
      </w:r>
      <w:r>
        <w:rPr>
          <w:noProof/>
        </w:rPr>
        <w:t xml:space="preserve">) was adopted to address distortions in the internal market caused by subsidies granted by third countries. </w:t>
      </w:r>
      <w:r w:rsidR="00675ACF">
        <w:rPr>
          <w:noProof/>
        </w:rPr>
        <w:t xml:space="preserve">The FSR seeks to ensure a level playing field in the internal market by enabling the European Commission (the ‘Commission’) to identify, assess, and, where necessary, redress distortive foreign subsidies. </w:t>
      </w:r>
    </w:p>
    <w:p w14:paraId="2A995BE4" w14:textId="0460CF50" w:rsidR="004A00DA" w:rsidRPr="00FF7E28" w:rsidRDefault="00E94225" w:rsidP="004A00DA">
      <w:pPr>
        <w:rPr>
          <w:noProof/>
          <w:szCs w:val="24"/>
        </w:rPr>
      </w:pPr>
      <w:r>
        <w:rPr>
          <w:noProof/>
        </w:rPr>
        <w:t>Before</w:t>
      </w:r>
      <w:r w:rsidR="001E3372">
        <w:rPr>
          <w:noProof/>
        </w:rPr>
        <w:t xml:space="preserve"> the adoption of the FSR, the </w:t>
      </w:r>
      <w:r>
        <w:rPr>
          <w:noProof/>
        </w:rPr>
        <w:t xml:space="preserve">Union </w:t>
      </w:r>
      <w:r w:rsidR="001E3372">
        <w:rPr>
          <w:noProof/>
        </w:rPr>
        <w:t xml:space="preserve">legal framework contained a structural regulatory gap. While </w:t>
      </w:r>
      <w:r>
        <w:rPr>
          <w:noProof/>
        </w:rPr>
        <w:t>Union</w:t>
      </w:r>
      <w:r w:rsidR="001E3372">
        <w:rPr>
          <w:noProof/>
        </w:rPr>
        <w:t xml:space="preserve"> State aid rules ensure that the subsidies granted by Member States do not unduly distort competition within the internal market, </w:t>
      </w:r>
      <w:r w:rsidR="001E3372" w:rsidRPr="00380449">
        <w:rPr>
          <w:noProof/>
        </w:rPr>
        <w:t xml:space="preserve">Regulation (EC) </w:t>
      </w:r>
      <w:r w:rsidR="004A00DA">
        <w:rPr>
          <w:noProof/>
        </w:rPr>
        <w:t xml:space="preserve">139/2004 </w:t>
      </w:r>
      <w:r w:rsidR="004A00DA" w:rsidRPr="00785BBB">
        <w:rPr>
          <w:noProof/>
        </w:rPr>
        <w:t>of 20 January 2004 on the control of concentrations between undertakings</w:t>
      </w:r>
      <w:r w:rsidR="004A00DA" w:rsidRPr="00DC744E">
        <w:rPr>
          <w:noProof/>
        </w:rPr>
        <w:t xml:space="preserve"> </w:t>
      </w:r>
      <w:r w:rsidR="004A00DA">
        <w:rPr>
          <w:noProof/>
        </w:rPr>
        <w:t>(the ‘</w:t>
      </w:r>
      <w:r w:rsidR="004A00DA" w:rsidRPr="00C45C70">
        <w:rPr>
          <w:noProof/>
        </w:rPr>
        <w:t>EUMR</w:t>
      </w:r>
      <w:r w:rsidR="004A00DA">
        <w:rPr>
          <w:noProof/>
        </w:rPr>
        <w:t>’)</w:t>
      </w:r>
      <w:r w:rsidR="005408A8">
        <w:rPr>
          <w:noProof/>
        </w:rPr>
        <w:t xml:space="preserve"> assesses whether concentrations may lead to a significant impediment to effective competition</w:t>
      </w:r>
      <w:r w:rsidR="001E3372">
        <w:rPr>
          <w:noProof/>
        </w:rPr>
        <w:t xml:space="preserve">, and Articles 101 and 102 of the </w:t>
      </w:r>
      <w:r w:rsidR="001E3372" w:rsidRPr="57A8C7CD">
        <w:rPr>
          <w:rFonts w:eastAsiaTheme="minorEastAsia"/>
          <w:noProof/>
          <w:szCs w:val="24"/>
          <w:lang w:eastAsia="en-IE"/>
        </w:rPr>
        <w:t xml:space="preserve">Treaty on the Functioning of the European Union </w:t>
      </w:r>
      <w:r w:rsidR="00FC7FB5" w:rsidRPr="57A8C7CD">
        <w:rPr>
          <w:rFonts w:eastAsiaTheme="minorEastAsia"/>
          <w:noProof/>
          <w:szCs w:val="24"/>
          <w:lang w:eastAsia="en-IE"/>
        </w:rPr>
        <w:t>(</w:t>
      </w:r>
      <w:r w:rsidR="00FC7FB5">
        <w:rPr>
          <w:rFonts w:eastAsiaTheme="minorEastAsia"/>
          <w:noProof/>
          <w:szCs w:val="24"/>
          <w:lang w:eastAsia="en-IE"/>
        </w:rPr>
        <w:t>‘</w:t>
      </w:r>
      <w:r w:rsidR="00FC7FB5" w:rsidRPr="57A8C7CD">
        <w:rPr>
          <w:rFonts w:eastAsiaTheme="minorEastAsia"/>
          <w:noProof/>
          <w:szCs w:val="24"/>
          <w:lang w:eastAsia="en-IE"/>
        </w:rPr>
        <w:t>TFEU</w:t>
      </w:r>
      <w:r w:rsidR="00FC7FB5">
        <w:rPr>
          <w:rFonts w:eastAsiaTheme="minorEastAsia"/>
          <w:noProof/>
          <w:szCs w:val="24"/>
          <w:lang w:eastAsia="en-IE"/>
        </w:rPr>
        <w:t>’</w:t>
      </w:r>
      <w:r w:rsidR="00FC7FB5" w:rsidRPr="57A8C7CD">
        <w:rPr>
          <w:rFonts w:eastAsiaTheme="minorEastAsia"/>
          <w:noProof/>
          <w:szCs w:val="24"/>
          <w:lang w:eastAsia="en-IE"/>
        </w:rPr>
        <w:t xml:space="preserve">) </w:t>
      </w:r>
      <w:r w:rsidR="001E3372">
        <w:rPr>
          <w:noProof/>
        </w:rPr>
        <w:t xml:space="preserve">assess the presence of anti-competitive agreements and abuse of dominant position, none of these instruments </w:t>
      </w:r>
      <w:r>
        <w:rPr>
          <w:noProof/>
        </w:rPr>
        <w:t xml:space="preserve">allowed </w:t>
      </w:r>
      <w:r w:rsidR="001E3372">
        <w:rPr>
          <w:noProof/>
        </w:rPr>
        <w:t xml:space="preserve">for a systematic assessment of subsidies granted by </w:t>
      </w:r>
      <w:r w:rsidR="00825090">
        <w:rPr>
          <w:noProof/>
        </w:rPr>
        <w:t>third countries</w:t>
      </w:r>
      <w:r w:rsidR="005408A8">
        <w:rPr>
          <w:noProof/>
        </w:rPr>
        <w:t xml:space="preserve"> to undertakings operating in the Union</w:t>
      </w:r>
      <w:r w:rsidR="001E3372">
        <w:rPr>
          <w:noProof/>
        </w:rPr>
        <w:t xml:space="preserve">. </w:t>
      </w:r>
      <w:r w:rsidR="00145862">
        <w:rPr>
          <w:noProof/>
        </w:rPr>
        <w:t>In addition, traditional</w:t>
      </w:r>
      <w:r w:rsidR="001E3372">
        <w:rPr>
          <w:noProof/>
        </w:rPr>
        <w:t xml:space="preserve"> EU trade defence instruments</w:t>
      </w:r>
      <w:r>
        <w:rPr>
          <w:noProof/>
        </w:rPr>
        <w:t xml:space="preserve">, </w:t>
      </w:r>
      <w:r w:rsidR="001E3372">
        <w:rPr>
          <w:noProof/>
        </w:rPr>
        <w:t xml:space="preserve">are limited to subsidised imports of goods and do not capture distortions arising from subsidised investments, services or financial flows. As a result, foreign subsidies could </w:t>
      </w:r>
      <w:r w:rsidR="004A00DA">
        <w:rPr>
          <w:noProof/>
        </w:rPr>
        <w:t xml:space="preserve">distort </w:t>
      </w:r>
      <w:r w:rsidR="004A00DA" w:rsidRPr="0072166A">
        <w:rPr>
          <w:noProof/>
        </w:rPr>
        <w:t>any sector of the economy such as</w:t>
      </w:r>
      <w:r w:rsidR="004A00DA">
        <w:rPr>
          <w:noProof/>
        </w:rPr>
        <w:t>, inter alia,</w:t>
      </w:r>
      <w:r w:rsidR="004A00DA" w:rsidRPr="0072166A">
        <w:rPr>
          <w:noProof/>
        </w:rPr>
        <w:t xml:space="preserve"> participation in public procurement procedures</w:t>
      </w:r>
      <w:r w:rsidR="004A00DA">
        <w:rPr>
          <w:noProof/>
        </w:rPr>
        <w:t xml:space="preserve"> or</w:t>
      </w:r>
      <w:r w:rsidR="004A00DA" w:rsidRPr="0072166A">
        <w:rPr>
          <w:noProof/>
        </w:rPr>
        <w:t xml:space="preserve"> acquisition of undertakings</w:t>
      </w:r>
      <w:r w:rsidR="004A00DA">
        <w:rPr>
          <w:noProof/>
        </w:rPr>
        <w:t xml:space="preserve"> or engaging in any other economic activities in the Union, </w:t>
      </w:r>
      <w:r w:rsidR="001E3372">
        <w:rPr>
          <w:noProof/>
        </w:rPr>
        <w:t xml:space="preserve">without being subject to scrutiny comparable to that applicable to State aid. </w:t>
      </w:r>
      <w:r w:rsidR="004A00DA">
        <w:rPr>
          <w:noProof/>
        </w:rPr>
        <w:t xml:space="preserve">The FSR was </w:t>
      </w:r>
      <w:r w:rsidR="00145862">
        <w:rPr>
          <w:noProof/>
        </w:rPr>
        <w:t xml:space="preserve">therefore </w:t>
      </w:r>
      <w:r w:rsidR="004A00DA">
        <w:rPr>
          <w:noProof/>
        </w:rPr>
        <w:t xml:space="preserve">conceived as a horizontal instrument complementing existing Union merger, antitrust, State aid, public procurement and trade policy rules, with the objective of preserving fair competition and the integrity of the internal market. </w:t>
      </w:r>
    </w:p>
    <w:p w14:paraId="6B195E55" w14:textId="10FDDE72" w:rsidR="004A00DA" w:rsidRDefault="004A00DA" w:rsidP="004A00DA">
      <w:pPr>
        <w:rPr>
          <w:noProof/>
        </w:rPr>
      </w:pPr>
      <w:r>
        <w:rPr>
          <w:noProof/>
        </w:rPr>
        <w:t xml:space="preserve">The FSR is based on non-discriminatory principles and objective criteria. It covers all sectors and economic activities in the internal market, </w:t>
      </w:r>
      <w:r w:rsidR="007A3981">
        <w:rPr>
          <w:noProof/>
        </w:rPr>
        <w:t>target</w:t>
      </w:r>
      <w:r>
        <w:rPr>
          <w:noProof/>
        </w:rPr>
        <w:t>ing distortions caused by any foreign subsidy to the internal market.</w:t>
      </w:r>
      <w:r w:rsidRPr="00366497">
        <w:rPr>
          <w:noProof/>
          <w:lang w:val="en-IE"/>
        </w:rPr>
        <w:t xml:space="preserve"> </w:t>
      </w:r>
      <w:r w:rsidRPr="00ED567E">
        <w:rPr>
          <w:noProof/>
          <w:lang w:val="en-IE"/>
        </w:rPr>
        <w:t>The FSR applie</w:t>
      </w:r>
      <w:r>
        <w:rPr>
          <w:noProof/>
          <w:lang w:val="en-IE"/>
        </w:rPr>
        <w:t>s</w:t>
      </w:r>
      <w:r w:rsidRPr="00ED567E">
        <w:rPr>
          <w:noProof/>
          <w:lang w:val="en-IE"/>
        </w:rPr>
        <w:t xml:space="preserve"> in full respect of international obligations. While the Commission remains committed to constructive dialogue and cooperation with third-country authorities and economic operators, </w:t>
      </w:r>
      <w:r>
        <w:rPr>
          <w:noProof/>
          <w:lang w:val="en-IE"/>
        </w:rPr>
        <w:t>it</w:t>
      </w:r>
      <w:r w:rsidRPr="00ED567E">
        <w:rPr>
          <w:noProof/>
          <w:lang w:val="en-IE"/>
        </w:rPr>
        <w:t xml:space="preserve"> will continue to use all investigative and procedural tools available under the FSR to ensure </w:t>
      </w:r>
      <w:r>
        <w:rPr>
          <w:noProof/>
          <w:lang w:val="en-IE"/>
        </w:rPr>
        <w:t>its</w:t>
      </w:r>
      <w:r w:rsidRPr="00ED567E">
        <w:rPr>
          <w:noProof/>
          <w:lang w:val="en-IE"/>
        </w:rPr>
        <w:t xml:space="preserve"> effective application </w:t>
      </w:r>
      <w:r>
        <w:rPr>
          <w:noProof/>
          <w:lang w:val="en-IE"/>
        </w:rPr>
        <w:t>and</w:t>
      </w:r>
      <w:r w:rsidRPr="00ED567E">
        <w:rPr>
          <w:noProof/>
          <w:lang w:val="en-IE"/>
        </w:rPr>
        <w:t xml:space="preserve"> safeguard </w:t>
      </w:r>
      <w:r>
        <w:rPr>
          <w:noProof/>
          <w:lang w:val="en-IE"/>
        </w:rPr>
        <w:t>the</w:t>
      </w:r>
      <w:r w:rsidRPr="00ED567E">
        <w:rPr>
          <w:noProof/>
          <w:lang w:val="en-IE"/>
        </w:rPr>
        <w:t xml:space="preserve"> level playing field in the internal market.</w:t>
      </w:r>
    </w:p>
    <w:p w14:paraId="3D5639A2" w14:textId="15844610" w:rsidR="00BA586A" w:rsidRDefault="001E3372" w:rsidP="004A1922">
      <w:pPr>
        <w:rPr>
          <w:noProof/>
        </w:rPr>
      </w:pPr>
      <w:r>
        <w:rPr>
          <w:noProof/>
        </w:rPr>
        <w:t>At international level, the Union has consistently expressed preference for addressing subsidy-related distortions through multilateral instruments, notably within the framework of the World Trade Organisation (</w:t>
      </w:r>
      <w:r w:rsidR="00DC4414">
        <w:rPr>
          <w:noProof/>
        </w:rPr>
        <w:t>‘</w:t>
      </w:r>
      <w:r>
        <w:rPr>
          <w:noProof/>
        </w:rPr>
        <w:t>WTO</w:t>
      </w:r>
      <w:r w:rsidR="001238DC">
        <w:rPr>
          <w:noProof/>
        </w:rPr>
        <w:t>’</w:t>
      </w:r>
      <w:r>
        <w:rPr>
          <w:noProof/>
        </w:rPr>
        <w:t>). However, existing WTO rules, in particular the Agreement on Subsidies and Countervailing Measures (</w:t>
      </w:r>
      <w:r w:rsidR="00DC4414">
        <w:rPr>
          <w:noProof/>
        </w:rPr>
        <w:t>‘</w:t>
      </w:r>
      <w:r>
        <w:rPr>
          <w:noProof/>
        </w:rPr>
        <w:t>ASCM</w:t>
      </w:r>
      <w:r w:rsidR="00DC4414">
        <w:rPr>
          <w:noProof/>
        </w:rPr>
        <w:t>’</w:t>
      </w:r>
      <w:r>
        <w:rPr>
          <w:noProof/>
        </w:rPr>
        <w:t xml:space="preserve">), are limited in scope, </w:t>
      </w:r>
      <w:r w:rsidR="003A5B5E">
        <w:rPr>
          <w:noProof/>
        </w:rPr>
        <w:t>for reasons such as</w:t>
      </w:r>
      <w:r>
        <w:rPr>
          <w:noProof/>
        </w:rPr>
        <w:t xml:space="preserve"> their focus on trade in goods, and face some challenges in view of transparency shortcomings and enforcement constraints. In the absence of comprehensive and effective multilateral rules </w:t>
      </w:r>
      <w:r w:rsidRPr="00517597">
        <w:rPr>
          <w:noProof/>
        </w:rPr>
        <w:t>capable</w:t>
      </w:r>
      <w:r>
        <w:rPr>
          <w:noProof/>
        </w:rPr>
        <w:t xml:space="preserve"> of addressing the full range of distortions observed in the internal market, the EU considered it necessary to equip itself with an autonomous instrument to address distortions caused by foreign subsidies, while remaining open to future multilateral solutions</w:t>
      </w:r>
      <w:r w:rsidRPr="006905A1">
        <w:rPr>
          <w:noProof/>
        </w:rPr>
        <w:t> (</w:t>
      </w:r>
      <w:r>
        <w:rPr>
          <w:rStyle w:val="FootnoteReference"/>
          <w:noProof/>
        </w:rPr>
        <w:footnoteReference w:id="2"/>
      </w:r>
      <w:r>
        <w:rPr>
          <w:noProof/>
        </w:rPr>
        <w:t>)</w:t>
      </w:r>
      <w:r w:rsidR="0026370B">
        <w:rPr>
          <w:noProof/>
        </w:rPr>
        <w:t>.</w:t>
      </w:r>
    </w:p>
    <w:p w14:paraId="7B589E9C" w14:textId="77777777" w:rsidR="0026370B" w:rsidRDefault="0026370B" w:rsidP="004A1922">
      <w:pPr>
        <w:rPr>
          <w:noProof/>
        </w:rPr>
      </w:pPr>
    </w:p>
    <w:p w14:paraId="1FDF5F30" w14:textId="683ADB3E" w:rsidR="00051DE2" w:rsidRPr="008C35C0" w:rsidRDefault="00BA586A" w:rsidP="008E336A">
      <w:pPr>
        <w:pStyle w:val="Heading2"/>
        <w:rPr>
          <w:noProof/>
        </w:rPr>
      </w:pPr>
      <w:bookmarkStart w:id="4" w:name="_Toc234227828"/>
      <w:r>
        <w:rPr>
          <w:noProof/>
        </w:rPr>
        <w:t>Legal basis and purpose of the Repor</w:t>
      </w:r>
      <w:r w:rsidR="00517597">
        <w:rPr>
          <w:noProof/>
        </w:rPr>
        <w:t>t</w:t>
      </w:r>
      <w:bookmarkEnd w:id="4"/>
    </w:p>
    <w:p w14:paraId="13AA51EA" w14:textId="086D3D41" w:rsidR="002212ED" w:rsidRDefault="005408A8" w:rsidP="004A1922">
      <w:pPr>
        <w:rPr>
          <w:noProof/>
        </w:rPr>
      </w:pPr>
      <w:r>
        <w:rPr>
          <w:noProof/>
        </w:rPr>
        <w:t>Article </w:t>
      </w:r>
      <w:r w:rsidR="00517597">
        <w:rPr>
          <w:noProof/>
        </w:rPr>
        <w:t>52</w:t>
      </w:r>
      <w:r w:rsidR="00C20B5B">
        <w:rPr>
          <w:noProof/>
        </w:rPr>
        <w:t>(2)</w:t>
      </w:r>
      <w:r w:rsidR="00517597">
        <w:rPr>
          <w:noProof/>
        </w:rPr>
        <w:t xml:space="preserve"> FSR requires the Commission to review</w:t>
      </w:r>
      <w:r w:rsidR="002212ED">
        <w:rPr>
          <w:noProof/>
        </w:rPr>
        <w:t xml:space="preserve"> how it implements and enforces</w:t>
      </w:r>
      <w:r w:rsidR="00517597">
        <w:rPr>
          <w:noProof/>
        </w:rPr>
        <w:t xml:space="preserve"> the FSR and report on its functioning</w:t>
      </w:r>
      <w:r w:rsidR="00341F6C">
        <w:rPr>
          <w:noProof/>
        </w:rPr>
        <w:t xml:space="preserve"> to the European Parliament and Council every three years</w:t>
      </w:r>
      <w:r w:rsidR="006051DD">
        <w:rPr>
          <w:noProof/>
        </w:rPr>
        <w:t xml:space="preserve">, with the first </w:t>
      </w:r>
      <w:r w:rsidR="005D43FC">
        <w:rPr>
          <w:noProof/>
        </w:rPr>
        <w:t xml:space="preserve">report </w:t>
      </w:r>
      <w:r w:rsidR="006051DD">
        <w:rPr>
          <w:noProof/>
        </w:rPr>
        <w:t>due by 14 July 2026</w:t>
      </w:r>
      <w:r w:rsidR="00E65E71">
        <w:rPr>
          <w:noProof/>
        </w:rPr>
        <w:t xml:space="preserve"> (the </w:t>
      </w:r>
      <w:r w:rsidR="001238DC">
        <w:rPr>
          <w:noProof/>
        </w:rPr>
        <w:t>‘</w:t>
      </w:r>
      <w:r w:rsidR="00E65E71">
        <w:rPr>
          <w:noProof/>
        </w:rPr>
        <w:t>Report</w:t>
      </w:r>
      <w:r w:rsidR="002212ED">
        <w:rPr>
          <w:noProof/>
        </w:rPr>
        <w:t>’</w:t>
      </w:r>
      <w:r w:rsidR="00E65E71">
        <w:rPr>
          <w:noProof/>
        </w:rPr>
        <w:t>)</w:t>
      </w:r>
      <w:r w:rsidR="006051DD">
        <w:rPr>
          <w:noProof/>
        </w:rPr>
        <w:t>.</w:t>
      </w:r>
      <w:r w:rsidR="00517597" w:rsidDel="00341F6C">
        <w:rPr>
          <w:noProof/>
        </w:rPr>
        <w:t xml:space="preserve"> </w:t>
      </w:r>
      <w:r w:rsidR="00C20B5B">
        <w:rPr>
          <w:noProof/>
        </w:rPr>
        <w:t>Th</w:t>
      </w:r>
      <w:r w:rsidR="00D73C78">
        <w:rPr>
          <w:noProof/>
        </w:rPr>
        <w:t xml:space="preserve">e </w:t>
      </w:r>
      <w:r w:rsidR="00517597">
        <w:rPr>
          <w:noProof/>
        </w:rPr>
        <w:t>Report</w:t>
      </w:r>
      <w:r w:rsidR="00C20B5B">
        <w:rPr>
          <w:noProof/>
        </w:rPr>
        <w:t>, therefore,</w:t>
      </w:r>
      <w:r w:rsidR="00517597">
        <w:rPr>
          <w:noProof/>
        </w:rPr>
        <w:t xml:space="preserve"> assesses the </w:t>
      </w:r>
      <w:r w:rsidR="00C20B5B">
        <w:rPr>
          <w:noProof/>
        </w:rPr>
        <w:t>early</w:t>
      </w:r>
      <w:r w:rsidR="00517597">
        <w:rPr>
          <w:noProof/>
        </w:rPr>
        <w:t xml:space="preserve"> implementation</w:t>
      </w:r>
      <w:r w:rsidR="002212ED">
        <w:rPr>
          <w:noProof/>
        </w:rPr>
        <w:t xml:space="preserve"> and enforcement</w:t>
      </w:r>
      <w:r w:rsidR="00517597">
        <w:rPr>
          <w:noProof/>
        </w:rPr>
        <w:t xml:space="preserve"> of the </w:t>
      </w:r>
      <w:r w:rsidR="00C20B5B">
        <w:rPr>
          <w:noProof/>
        </w:rPr>
        <w:t>FSR</w:t>
      </w:r>
      <w:r w:rsidR="002212ED">
        <w:rPr>
          <w:noProof/>
        </w:rPr>
        <w:t xml:space="preserve"> as well as the</w:t>
      </w:r>
      <w:r w:rsidR="00C20B5B">
        <w:rPr>
          <w:noProof/>
        </w:rPr>
        <w:t xml:space="preserve"> </w:t>
      </w:r>
      <w:r w:rsidR="00517597">
        <w:rPr>
          <w:noProof/>
        </w:rPr>
        <w:t xml:space="preserve">experience gained </w:t>
      </w:r>
      <w:r w:rsidR="002212ED">
        <w:rPr>
          <w:noProof/>
        </w:rPr>
        <w:t xml:space="preserve">by the Commission in </w:t>
      </w:r>
      <w:r w:rsidR="00517597">
        <w:rPr>
          <w:noProof/>
        </w:rPr>
        <w:t>its initial period of application.</w:t>
      </w:r>
      <w:r w:rsidR="00F6331D" w:rsidRPr="00F6331D">
        <w:rPr>
          <w:noProof/>
        </w:rPr>
        <w:t xml:space="preserve"> </w:t>
      </w:r>
    </w:p>
    <w:p w14:paraId="477F5B50" w14:textId="72B2D90F" w:rsidR="00046109" w:rsidRDefault="00046109" w:rsidP="004A1922">
      <w:pPr>
        <w:rPr>
          <w:noProof/>
        </w:rPr>
      </w:pPr>
      <w:r>
        <w:rPr>
          <w:noProof/>
        </w:rPr>
        <w:t xml:space="preserve">The scope of the Report </w:t>
      </w:r>
      <w:r w:rsidR="00720E51">
        <w:rPr>
          <w:noProof/>
        </w:rPr>
        <w:t>covers</w:t>
      </w:r>
      <w:r w:rsidR="00F6331D">
        <w:rPr>
          <w:noProof/>
        </w:rPr>
        <w:t xml:space="preserve"> </w:t>
      </w:r>
      <w:r>
        <w:rPr>
          <w:noProof/>
        </w:rPr>
        <w:t>the application of the key substantive and procedural provisions of the FSR</w:t>
      </w:r>
      <w:r w:rsidR="00F6331D">
        <w:rPr>
          <w:noProof/>
        </w:rPr>
        <w:t xml:space="preserve">, especially </w:t>
      </w:r>
      <w:r w:rsidR="00F6331D" w:rsidRPr="00393AD5">
        <w:rPr>
          <w:noProof/>
        </w:rPr>
        <w:t>the application of Articles</w:t>
      </w:r>
      <w:r w:rsidR="00781D33">
        <w:rPr>
          <w:noProof/>
        </w:rPr>
        <w:t xml:space="preserve"> </w:t>
      </w:r>
      <w:r w:rsidR="00F6331D" w:rsidRPr="00393AD5">
        <w:rPr>
          <w:noProof/>
        </w:rPr>
        <w:t>4, 5, 6 and 9, and the notification thresholds set out in Article20(3), Article</w:t>
      </w:r>
      <w:r w:rsidR="00F6331D">
        <w:rPr>
          <w:noProof/>
        </w:rPr>
        <w:t> </w:t>
      </w:r>
      <w:r w:rsidR="00F6331D" w:rsidRPr="00393AD5">
        <w:rPr>
          <w:noProof/>
        </w:rPr>
        <w:t>28(1) and (2)</w:t>
      </w:r>
      <w:r w:rsidR="00F6331D">
        <w:rPr>
          <w:noProof/>
        </w:rPr>
        <w:t> FSR</w:t>
      </w:r>
      <w:r w:rsidRPr="00046109">
        <w:rPr>
          <w:noProof/>
        </w:rPr>
        <w:t> (</w:t>
      </w:r>
      <w:r>
        <w:rPr>
          <w:rStyle w:val="FootnoteReference"/>
          <w:noProof/>
        </w:rPr>
        <w:footnoteReference w:id="3"/>
      </w:r>
      <w:r>
        <w:rPr>
          <w:noProof/>
        </w:rPr>
        <w:t>)</w:t>
      </w:r>
      <w:r w:rsidR="00F6331D">
        <w:rPr>
          <w:noProof/>
        </w:rPr>
        <w:t>.</w:t>
      </w:r>
      <w:r w:rsidDel="00F6331D">
        <w:rPr>
          <w:noProof/>
        </w:rPr>
        <w:t xml:space="preserve"> </w:t>
      </w:r>
      <w:r w:rsidR="00F6331D" w:rsidRPr="001B6F97">
        <w:rPr>
          <w:noProof/>
        </w:rPr>
        <w:t xml:space="preserve">In the context of </w:t>
      </w:r>
      <w:r w:rsidR="00F6331D">
        <w:rPr>
          <w:noProof/>
        </w:rPr>
        <w:t>its</w:t>
      </w:r>
      <w:r w:rsidR="00F6331D" w:rsidRPr="001B6F97">
        <w:rPr>
          <w:noProof/>
        </w:rPr>
        <w:t xml:space="preserve"> review, the Commission sh</w:t>
      </w:r>
      <w:r w:rsidR="00F6331D">
        <w:rPr>
          <w:noProof/>
        </w:rPr>
        <w:t>ould</w:t>
      </w:r>
      <w:r w:rsidR="00F6331D" w:rsidRPr="001B6F97">
        <w:rPr>
          <w:noProof/>
        </w:rPr>
        <w:t xml:space="preserve"> </w:t>
      </w:r>
      <w:r w:rsidR="00F6331D">
        <w:rPr>
          <w:noProof/>
        </w:rPr>
        <w:t xml:space="preserve">also </w:t>
      </w:r>
      <w:r w:rsidR="00F6331D" w:rsidRPr="001B6F97">
        <w:rPr>
          <w:noProof/>
        </w:rPr>
        <w:t xml:space="preserve">report on developments in international relations </w:t>
      </w:r>
      <w:r w:rsidR="00F6331D">
        <w:rPr>
          <w:noProof/>
        </w:rPr>
        <w:t>involving</w:t>
      </w:r>
      <w:r w:rsidR="00F6331D" w:rsidRPr="001B6F97">
        <w:rPr>
          <w:noProof/>
        </w:rPr>
        <w:t xml:space="preserve"> third countries’ subsidy control systems</w:t>
      </w:r>
      <w:r w:rsidR="00F6331D">
        <w:rPr>
          <w:noProof/>
        </w:rPr>
        <w:t xml:space="preserve">. </w:t>
      </w:r>
    </w:p>
    <w:p w14:paraId="6682A5A5" w14:textId="039F6B5A" w:rsidR="005408A8" w:rsidRDefault="005408A8" w:rsidP="004A1922">
      <w:pPr>
        <w:rPr>
          <w:noProof/>
        </w:rPr>
      </w:pPr>
      <w:r>
        <w:rPr>
          <w:noProof/>
        </w:rPr>
        <w:t>This Staff Working Document complements the Report in providing more detailed analysis.</w:t>
      </w:r>
    </w:p>
    <w:p w14:paraId="309AEA69" w14:textId="0BA4B0BB" w:rsidR="00D60C3C" w:rsidRDefault="004D7ACC" w:rsidP="004A1922">
      <w:pPr>
        <w:rPr>
          <w:noProof/>
        </w:rPr>
      </w:pPr>
      <w:r>
        <w:rPr>
          <w:noProof/>
        </w:rPr>
        <w:t>T</w:t>
      </w:r>
      <w:r w:rsidR="00D60C3C">
        <w:rPr>
          <w:noProof/>
        </w:rPr>
        <w:t xml:space="preserve">he review under </w:t>
      </w:r>
      <w:r w:rsidR="005408A8">
        <w:rPr>
          <w:noProof/>
        </w:rPr>
        <w:t>Article </w:t>
      </w:r>
      <w:r w:rsidR="00D60C3C">
        <w:rPr>
          <w:noProof/>
        </w:rPr>
        <w:t xml:space="preserve">52 FSR is intended to ensure that the FSR remains proportionate, effective and consistent with </w:t>
      </w:r>
      <w:r w:rsidR="006051DD">
        <w:rPr>
          <w:noProof/>
        </w:rPr>
        <w:t xml:space="preserve">its stated objective and </w:t>
      </w:r>
      <w:r w:rsidR="00D60C3C">
        <w:rPr>
          <w:noProof/>
        </w:rPr>
        <w:t xml:space="preserve">the Union’s international obligations, while allowing for </w:t>
      </w:r>
      <w:r w:rsidR="00A21DD7">
        <w:rPr>
          <w:noProof/>
        </w:rPr>
        <w:t xml:space="preserve">possible </w:t>
      </w:r>
      <w:r w:rsidR="00D60C3C">
        <w:rPr>
          <w:noProof/>
        </w:rPr>
        <w:t xml:space="preserve">adjustments </w:t>
      </w:r>
      <w:r>
        <w:rPr>
          <w:noProof/>
        </w:rPr>
        <w:t xml:space="preserve">if </w:t>
      </w:r>
      <w:r w:rsidR="00D60C3C">
        <w:rPr>
          <w:noProof/>
        </w:rPr>
        <w:t>warranted by enforcement experience</w:t>
      </w:r>
      <w:r w:rsidR="00D60C3C" w:rsidRPr="00D60C3C">
        <w:rPr>
          <w:noProof/>
        </w:rPr>
        <w:t> (</w:t>
      </w:r>
      <w:r w:rsidR="00D60C3C">
        <w:rPr>
          <w:rStyle w:val="FootnoteReference"/>
          <w:noProof/>
        </w:rPr>
        <w:footnoteReference w:id="4"/>
      </w:r>
      <w:r w:rsidR="00D60C3C">
        <w:rPr>
          <w:noProof/>
        </w:rPr>
        <w:t>)</w:t>
      </w:r>
      <w:r>
        <w:rPr>
          <w:noProof/>
        </w:rPr>
        <w:t>.</w:t>
      </w:r>
    </w:p>
    <w:p w14:paraId="2BDFC889" w14:textId="3851E48B" w:rsidR="00D73C78" w:rsidRDefault="00D73C78" w:rsidP="00D73C78">
      <w:pPr>
        <w:rPr>
          <w:noProof/>
        </w:rPr>
      </w:pPr>
      <w:r w:rsidRPr="0034486D">
        <w:rPr>
          <w:noProof/>
        </w:rPr>
        <w:t>Th</w:t>
      </w:r>
      <w:r>
        <w:rPr>
          <w:noProof/>
        </w:rPr>
        <w:t xml:space="preserve">is </w:t>
      </w:r>
      <w:r w:rsidRPr="0034486D">
        <w:rPr>
          <w:noProof/>
        </w:rPr>
        <w:t xml:space="preserve">Staff Working Document </w:t>
      </w:r>
      <w:r>
        <w:rPr>
          <w:noProof/>
        </w:rPr>
        <w:t xml:space="preserve">accompanies the Report to provide more comprehensive overview of the </w:t>
      </w:r>
      <w:r w:rsidR="00F97C68">
        <w:rPr>
          <w:noProof/>
        </w:rPr>
        <w:t xml:space="preserve">FSR </w:t>
      </w:r>
      <w:r w:rsidR="00467936">
        <w:rPr>
          <w:noProof/>
        </w:rPr>
        <w:t>legislative background</w:t>
      </w:r>
      <w:r>
        <w:rPr>
          <w:noProof/>
        </w:rPr>
        <w:t xml:space="preserve">, </w:t>
      </w:r>
      <w:r w:rsidR="0086160A" w:rsidRPr="0086160A">
        <w:rPr>
          <w:noProof/>
        </w:rPr>
        <w:t>the current FSR set up and its enforcement procedures</w:t>
      </w:r>
      <w:r>
        <w:rPr>
          <w:noProof/>
        </w:rPr>
        <w:t xml:space="preserve"> and the experience gained by the Commission in its initial period of application.</w:t>
      </w:r>
      <w:r w:rsidRPr="00F6331D">
        <w:rPr>
          <w:noProof/>
        </w:rPr>
        <w:t xml:space="preserve"> </w:t>
      </w:r>
    </w:p>
    <w:p w14:paraId="75662511" w14:textId="41BB7D32" w:rsidR="00B11396" w:rsidRPr="008E336A" w:rsidRDefault="00B11396" w:rsidP="008E336A">
      <w:pPr>
        <w:pStyle w:val="Heading1"/>
        <w:rPr>
          <w:noProof/>
        </w:rPr>
      </w:pPr>
      <w:bookmarkStart w:id="5" w:name="_Toc234227829"/>
      <w:r w:rsidRPr="008E336A">
        <w:rPr>
          <w:noProof/>
        </w:rPr>
        <w:t>LEGISLATIVE BACKGROUND</w:t>
      </w:r>
      <w:bookmarkEnd w:id="5"/>
      <w:r w:rsidR="001E2B38" w:rsidRPr="008E336A">
        <w:rPr>
          <w:noProof/>
        </w:rPr>
        <w:t xml:space="preserve"> </w:t>
      </w:r>
    </w:p>
    <w:p w14:paraId="31320F98" w14:textId="05098AA7" w:rsidR="0010546C" w:rsidRDefault="0010546C" w:rsidP="004A1922">
      <w:pPr>
        <w:rPr>
          <w:noProof/>
        </w:rPr>
      </w:pPr>
      <w:r w:rsidRPr="00114064">
        <w:rPr>
          <w:noProof/>
        </w:rPr>
        <w:t xml:space="preserve">On 17 June 2020, the Commission adopted a White </w:t>
      </w:r>
      <w:r w:rsidR="00AC7F26">
        <w:rPr>
          <w:noProof/>
        </w:rPr>
        <w:t>P</w:t>
      </w:r>
      <w:r w:rsidRPr="00114064">
        <w:rPr>
          <w:noProof/>
        </w:rPr>
        <w:t>aper on</w:t>
      </w:r>
      <w:r w:rsidR="00341F6C">
        <w:rPr>
          <w:noProof/>
        </w:rPr>
        <w:t xml:space="preserve"> </w:t>
      </w:r>
      <w:r w:rsidR="00341F6C" w:rsidRPr="00114064">
        <w:rPr>
          <w:noProof/>
        </w:rPr>
        <w:t>levelling the playing field as regards</w:t>
      </w:r>
      <w:r w:rsidRPr="00114064">
        <w:rPr>
          <w:noProof/>
        </w:rPr>
        <w:t xml:space="preserve"> foreign subsidies</w:t>
      </w:r>
      <w:r w:rsidR="00341F6C">
        <w:rPr>
          <w:noProof/>
        </w:rPr>
        <w:t xml:space="preserve"> (the ‘White </w:t>
      </w:r>
      <w:r w:rsidR="00AC7F26">
        <w:rPr>
          <w:noProof/>
        </w:rPr>
        <w:t>P</w:t>
      </w:r>
      <w:r w:rsidR="00341F6C">
        <w:rPr>
          <w:noProof/>
        </w:rPr>
        <w:t>aper’)</w:t>
      </w:r>
      <w:r w:rsidR="00BD1033" w:rsidRPr="00BD1033">
        <w:rPr>
          <w:noProof/>
        </w:rPr>
        <w:t> (</w:t>
      </w:r>
      <w:r w:rsidRPr="009A6162">
        <w:rPr>
          <w:rStyle w:val="FootnoteReference"/>
          <w:noProof/>
        </w:rPr>
        <w:footnoteReference w:id="5"/>
      </w:r>
      <w:r w:rsidR="00BD1033">
        <w:rPr>
          <w:noProof/>
        </w:rPr>
        <w:t>)</w:t>
      </w:r>
      <w:r w:rsidR="005408A8">
        <w:rPr>
          <w:noProof/>
        </w:rPr>
        <w:t>.</w:t>
      </w:r>
      <w:r w:rsidRPr="00114064">
        <w:rPr>
          <w:noProof/>
        </w:rPr>
        <w:t xml:space="preserve"> </w:t>
      </w:r>
      <w:r w:rsidR="005408A8">
        <w:rPr>
          <w:noProof/>
        </w:rPr>
        <w:t>Th</w:t>
      </w:r>
      <w:r w:rsidR="00FD2A02">
        <w:rPr>
          <w:noProof/>
        </w:rPr>
        <w:t xml:space="preserve">e White Paper </w:t>
      </w:r>
      <w:r w:rsidRPr="00114064">
        <w:rPr>
          <w:noProof/>
        </w:rPr>
        <w:t xml:space="preserve">launched </w:t>
      </w:r>
      <w:r w:rsidR="00FD2A02">
        <w:rPr>
          <w:noProof/>
        </w:rPr>
        <w:t>the</w:t>
      </w:r>
      <w:r w:rsidRPr="00114064">
        <w:rPr>
          <w:noProof/>
        </w:rPr>
        <w:t xml:space="preserve"> public debate on the topic of distortive foreign subsidies</w:t>
      </w:r>
      <w:r>
        <w:rPr>
          <w:noProof/>
        </w:rPr>
        <w:t xml:space="preserve"> in the </w:t>
      </w:r>
      <w:r w:rsidR="00BE7F6D">
        <w:rPr>
          <w:noProof/>
        </w:rPr>
        <w:t>internal market</w:t>
      </w:r>
      <w:r w:rsidR="005F27F9">
        <w:rPr>
          <w:noProof/>
        </w:rPr>
        <w:t>, from 17 June 2020 until 23 September 2020, during which, t</w:t>
      </w:r>
      <w:r w:rsidR="005F27F9" w:rsidRPr="00B805DF">
        <w:rPr>
          <w:noProof/>
        </w:rPr>
        <w:t>he Commission received 150 contributions</w:t>
      </w:r>
      <w:r w:rsidR="005F27F9">
        <w:rPr>
          <w:noProof/>
        </w:rPr>
        <w:t xml:space="preserve"> from interested stakeholders </w:t>
      </w:r>
      <w:r w:rsidR="005F27F9" w:rsidRPr="00BD1033">
        <w:rPr>
          <w:noProof/>
        </w:rPr>
        <w:t>(</w:t>
      </w:r>
      <w:r w:rsidR="005F27F9" w:rsidRPr="009A6162">
        <w:rPr>
          <w:rStyle w:val="FootnoteReference"/>
          <w:noProof/>
        </w:rPr>
        <w:footnoteReference w:id="6"/>
      </w:r>
      <w:r w:rsidR="005F27F9">
        <w:rPr>
          <w:noProof/>
        </w:rPr>
        <w:t>).</w:t>
      </w:r>
      <w:r>
        <w:rPr>
          <w:noProof/>
        </w:rPr>
        <w:t xml:space="preserve"> </w:t>
      </w:r>
      <w:r w:rsidR="00FD2A02">
        <w:rPr>
          <w:noProof/>
        </w:rPr>
        <w:t>F</w:t>
      </w:r>
      <w:r w:rsidR="00267E72">
        <w:rPr>
          <w:noProof/>
        </w:rPr>
        <w:t>ollowing</w:t>
      </w:r>
      <w:bookmarkStart w:id="6" w:name="_Hlk225857907"/>
      <w:r w:rsidR="00267E72">
        <w:rPr>
          <w:noProof/>
        </w:rPr>
        <w:t xml:space="preserve"> a gap analysis of existing EU and international instruments, </w:t>
      </w:r>
      <w:r w:rsidR="00FD2A02">
        <w:rPr>
          <w:noProof/>
        </w:rPr>
        <w:t xml:space="preserve">the White Paper </w:t>
      </w:r>
      <w:r w:rsidR="00267E72">
        <w:rPr>
          <w:noProof/>
        </w:rPr>
        <w:t>concluded that while some tools already existed, they were insufficient</w:t>
      </w:r>
      <w:r w:rsidR="0041321C">
        <w:rPr>
          <w:noProof/>
        </w:rPr>
        <w:t xml:space="preserve"> to adequately address the issue</w:t>
      </w:r>
      <w:r w:rsidR="00FD2A02" w:rsidRPr="00FD2A02">
        <w:rPr>
          <w:noProof/>
        </w:rPr>
        <w:t xml:space="preserve"> </w:t>
      </w:r>
      <w:r w:rsidR="00FD2A02" w:rsidRPr="00114064">
        <w:rPr>
          <w:noProof/>
        </w:rPr>
        <w:t>of foreign subsidies</w:t>
      </w:r>
      <w:r w:rsidR="00FD2A02">
        <w:rPr>
          <w:noProof/>
        </w:rPr>
        <w:t xml:space="preserve"> distorting the internal market</w:t>
      </w:r>
      <w:r w:rsidR="00267E72">
        <w:rPr>
          <w:noProof/>
        </w:rPr>
        <w:t xml:space="preserve">. </w:t>
      </w:r>
      <w:r w:rsidR="008217CC">
        <w:rPr>
          <w:noProof/>
        </w:rPr>
        <w:t>T</w:t>
      </w:r>
      <w:r w:rsidR="00267E72">
        <w:rPr>
          <w:noProof/>
        </w:rPr>
        <w:t xml:space="preserve">he </w:t>
      </w:r>
      <w:r w:rsidR="0041321C">
        <w:rPr>
          <w:noProof/>
        </w:rPr>
        <w:t xml:space="preserve">White </w:t>
      </w:r>
      <w:r w:rsidR="00AC7F26">
        <w:rPr>
          <w:noProof/>
        </w:rPr>
        <w:t>P</w:t>
      </w:r>
      <w:r w:rsidR="00267E72">
        <w:rPr>
          <w:noProof/>
        </w:rPr>
        <w:t xml:space="preserve">aper </w:t>
      </w:r>
      <w:r>
        <w:rPr>
          <w:noProof/>
        </w:rPr>
        <w:t xml:space="preserve">proposed solutions and called for new tools to address the </w:t>
      </w:r>
      <w:r w:rsidR="005F27F9">
        <w:rPr>
          <w:noProof/>
        </w:rPr>
        <w:t>identified</w:t>
      </w:r>
      <w:r>
        <w:rPr>
          <w:noProof/>
        </w:rPr>
        <w:t xml:space="preserve"> regulatory gap for tackling distortive foreign subsidies in the </w:t>
      </w:r>
      <w:r w:rsidR="008217CC">
        <w:rPr>
          <w:noProof/>
        </w:rPr>
        <w:t>internal market</w:t>
      </w:r>
      <w:r>
        <w:rPr>
          <w:noProof/>
        </w:rPr>
        <w:t xml:space="preserve">. </w:t>
      </w:r>
      <w:bookmarkEnd w:id="6"/>
    </w:p>
    <w:p w14:paraId="05E2E529" w14:textId="5D1CBB8C" w:rsidR="0010546C" w:rsidRDefault="0063003C" w:rsidP="004A1922">
      <w:pPr>
        <w:rPr>
          <w:noProof/>
        </w:rPr>
      </w:pPr>
      <w:r>
        <w:rPr>
          <w:noProof/>
        </w:rPr>
        <w:t>On 5 May 2021, f</w:t>
      </w:r>
      <w:r w:rsidR="0093258F">
        <w:rPr>
          <w:noProof/>
        </w:rPr>
        <w:t>ollowing additional consultation activities</w:t>
      </w:r>
      <w:r w:rsidR="005408A8">
        <w:rPr>
          <w:noProof/>
        </w:rPr>
        <w:t> </w:t>
      </w:r>
      <w:r w:rsidR="0093258F" w:rsidRPr="0093258F">
        <w:rPr>
          <w:noProof/>
        </w:rPr>
        <w:t>(</w:t>
      </w:r>
      <w:r w:rsidR="0093258F">
        <w:rPr>
          <w:rStyle w:val="FootnoteReference"/>
          <w:noProof/>
        </w:rPr>
        <w:footnoteReference w:id="7"/>
      </w:r>
      <w:r w:rsidR="0093258F">
        <w:rPr>
          <w:noProof/>
        </w:rPr>
        <w:t>)</w:t>
      </w:r>
      <w:r w:rsidR="0010546C">
        <w:rPr>
          <w:noProof/>
        </w:rPr>
        <w:t xml:space="preserve">, the Commission adopted a </w:t>
      </w:r>
      <w:r w:rsidR="007D52C9">
        <w:rPr>
          <w:noProof/>
        </w:rPr>
        <w:t>p</w:t>
      </w:r>
      <w:r w:rsidR="0010546C">
        <w:rPr>
          <w:noProof/>
        </w:rPr>
        <w:t>roposal for a Regulation on foreign subsidies distorting the internal market</w:t>
      </w:r>
      <w:r w:rsidR="00BD1033" w:rsidRPr="00BD1033">
        <w:rPr>
          <w:noProof/>
        </w:rPr>
        <w:t> (</w:t>
      </w:r>
      <w:r w:rsidR="0010546C" w:rsidRPr="00A47B29">
        <w:rPr>
          <w:rStyle w:val="FootnoteReference"/>
          <w:noProof/>
        </w:rPr>
        <w:footnoteReference w:id="8"/>
      </w:r>
      <w:r w:rsidR="00BD1033">
        <w:rPr>
          <w:noProof/>
        </w:rPr>
        <w:t>)</w:t>
      </w:r>
      <w:r>
        <w:rPr>
          <w:noProof/>
        </w:rPr>
        <w:t xml:space="preserve">, </w:t>
      </w:r>
      <w:r w:rsidR="0010546C">
        <w:rPr>
          <w:noProof/>
        </w:rPr>
        <w:t>accompanied by an Impact Assessment Report</w:t>
      </w:r>
      <w:r w:rsidR="00BD1033" w:rsidRPr="00BD1033">
        <w:rPr>
          <w:noProof/>
        </w:rPr>
        <w:t> (</w:t>
      </w:r>
      <w:r w:rsidR="00267E72">
        <w:rPr>
          <w:rStyle w:val="FootnoteReference"/>
          <w:noProof/>
        </w:rPr>
        <w:footnoteReference w:id="9"/>
      </w:r>
      <w:r w:rsidR="00BD1033">
        <w:rPr>
          <w:noProof/>
        </w:rPr>
        <w:t>)</w:t>
      </w:r>
      <w:r>
        <w:rPr>
          <w:noProof/>
        </w:rPr>
        <w:t xml:space="preserve">. </w:t>
      </w:r>
      <w:r w:rsidR="006254F6">
        <w:rPr>
          <w:noProof/>
        </w:rPr>
        <w:t xml:space="preserve">This </w:t>
      </w:r>
      <w:r w:rsidR="007D52C9">
        <w:rPr>
          <w:noProof/>
        </w:rPr>
        <w:t>p</w:t>
      </w:r>
      <w:r w:rsidR="006254F6">
        <w:rPr>
          <w:noProof/>
        </w:rPr>
        <w:t>roposal for a Regulation initiated the legislative procedure with the Council</w:t>
      </w:r>
      <w:r w:rsidR="006254F6" w:rsidRPr="006254F6">
        <w:rPr>
          <w:noProof/>
        </w:rPr>
        <w:t> </w:t>
      </w:r>
      <w:r w:rsidR="006254F6">
        <w:rPr>
          <w:noProof/>
        </w:rPr>
        <w:t>and the European Parliament.</w:t>
      </w:r>
      <w:r w:rsidR="0010546C">
        <w:rPr>
          <w:noProof/>
        </w:rPr>
        <w:t xml:space="preserve"> </w:t>
      </w:r>
      <w:r w:rsidR="00CB5D13" w:rsidRPr="006254F6">
        <w:rPr>
          <w:noProof/>
        </w:rPr>
        <w:t>(</w:t>
      </w:r>
      <w:r w:rsidR="00CB5D13">
        <w:rPr>
          <w:rStyle w:val="FootnoteReference"/>
          <w:noProof/>
        </w:rPr>
        <w:footnoteReference w:id="10"/>
      </w:r>
      <w:r w:rsidR="00CB5D13">
        <w:rPr>
          <w:noProof/>
        </w:rPr>
        <w:t>)</w:t>
      </w:r>
    </w:p>
    <w:p w14:paraId="6C7E1535" w14:textId="3BEBA72B" w:rsidR="0010546C" w:rsidRDefault="0010546C" w:rsidP="004A1922">
      <w:pPr>
        <w:rPr>
          <w:noProof/>
        </w:rPr>
      </w:pPr>
      <w:r w:rsidRPr="007F14DD">
        <w:rPr>
          <w:noProof/>
        </w:rPr>
        <w:t>On 30 June 2022, the Council and the European Parliament reached a political agreement on the Regulation on foreign subsidies distorting the internal market</w:t>
      </w:r>
      <w:r w:rsidR="00BD1033" w:rsidRPr="00BD1033">
        <w:rPr>
          <w:noProof/>
        </w:rPr>
        <w:t> (</w:t>
      </w:r>
      <w:r w:rsidRPr="00A47B29">
        <w:rPr>
          <w:rStyle w:val="FootnoteReference"/>
          <w:noProof/>
        </w:rPr>
        <w:footnoteReference w:id="11"/>
      </w:r>
      <w:r w:rsidR="00BD1033">
        <w:rPr>
          <w:noProof/>
        </w:rPr>
        <w:t>)</w:t>
      </w:r>
      <w:r w:rsidR="0063003C">
        <w:rPr>
          <w:noProof/>
        </w:rPr>
        <w:t xml:space="preserve">. </w:t>
      </w:r>
      <w:r w:rsidRPr="00B72731">
        <w:rPr>
          <w:noProof/>
        </w:rPr>
        <w:t xml:space="preserve">The final text of the </w:t>
      </w:r>
      <w:r>
        <w:rPr>
          <w:noProof/>
        </w:rPr>
        <w:t>FSR</w:t>
      </w:r>
      <w:r w:rsidRPr="00B72731">
        <w:rPr>
          <w:noProof/>
        </w:rPr>
        <w:t xml:space="preserve"> was adopted on </w:t>
      </w:r>
      <w:r w:rsidR="005408A8" w:rsidRPr="00B72731">
        <w:rPr>
          <w:noProof/>
        </w:rPr>
        <w:t>10</w:t>
      </w:r>
      <w:r w:rsidR="005408A8">
        <w:rPr>
          <w:noProof/>
        </w:rPr>
        <w:t> </w:t>
      </w:r>
      <w:r w:rsidRPr="00B72731">
        <w:rPr>
          <w:noProof/>
        </w:rPr>
        <w:t xml:space="preserve">November 2022 by the </w:t>
      </w:r>
      <w:r>
        <w:rPr>
          <w:noProof/>
        </w:rPr>
        <w:t xml:space="preserve">European </w:t>
      </w:r>
      <w:r w:rsidRPr="00B72731">
        <w:rPr>
          <w:noProof/>
        </w:rPr>
        <w:t>Parliament</w:t>
      </w:r>
      <w:r w:rsidR="00BD1033" w:rsidRPr="00BD1033">
        <w:rPr>
          <w:noProof/>
        </w:rPr>
        <w:t> (</w:t>
      </w:r>
      <w:r w:rsidRPr="00A47B29">
        <w:rPr>
          <w:rStyle w:val="FootnoteReference"/>
          <w:noProof/>
        </w:rPr>
        <w:footnoteReference w:id="12"/>
      </w:r>
      <w:r w:rsidR="00BD1033">
        <w:rPr>
          <w:noProof/>
        </w:rPr>
        <w:t>)</w:t>
      </w:r>
      <w:r w:rsidRPr="00B72731">
        <w:rPr>
          <w:noProof/>
        </w:rPr>
        <w:t xml:space="preserve"> and on </w:t>
      </w:r>
      <w:r w:rsidR="005408A8" w:rsidRPr="00B72731">
        <w:rPr>
          <w:noProof/>
        </w:rPr>
        <w:t>28</w:t>
      </w:r>
      <w:r w:rsidR="005408A8">
        <w:rPr>
          <w:noProof/>
        </w:rPr>
        <w:t> </w:t>
      </w:r>
      <w:r w:rsidRPr="00B72731">
        <w:rPr>
          <w:noProof/>
        </w:rPr>
        <w:t>November 2022 by the Council</w:t>
      </w:r>
      <w:r w:rsidR="00BD1033" w:rsidRPr="00BD1033">
        <w:rPr>
          <w:noProof/>
        </w:rPr>
        <w:t> (</w:t>
      </w:r>
      <w:r w:rsidRPr="00A47B29">
        <w:rPr>
          <w:rStyle w:val="FootnoteReference"/>
          <w:noProof/>
        </w:rPr>
        <w:footnoteReference w:id="13"/>
      </w:r>
      <w:r w:rsidR="00BD1033">
        <w:rPr>
          <w:noProof/>
        </w:rPr>
        <w:t>)</w:t>
      </w:r>
      <w:r w:rsidR="0063003C">
        <w:rPr>
          <w:noProof/>
        </w:rPr>
        <w:t>.</w:t>
      </w:r>
    </w:p>
    <w:p w14:paraId="254F051A" w14:textId="25DCBEFE" w:rsidR="00A441A7" w:rsidRDefault="0010546C" w:rsidP="004A1922">
      <w:pPr>
        <w:rPr>
          <w:noProof/>
        </w:rPr>
      </w:pPr>
      <w:r>
        <w:rPr>
          <w:noProof/>
        </w:rPr>
        <w:t xml:space="preserve">Following the adoption of the FSR and its entry into force on </w:t>
      </w:r>
      <w:r w:rsidR="005408A8">
        <w:rPr>
          <w:noProof/>
        </w:rPr>
        <w:t>13 </w:t>
      </w:r>
      <w:r>
        <w:rPr>
          <w:noProof/>
        </w:rPr>
        <w:t xml:space="preserve">January 2023, </w:t>
      </w:r>
      <w:r w:rsidRPr="00751B67">
        <w:rPr>
          <w:noProof/>
        </w:rPr>
        <w:t xml:space="preserve">the Commission invited stakeholders to give feedback on the </w:t>
      </w:r>
      <w:r w:rsidR="006D5A3E">
        <w:rPr>
          <w:noProof/>
        </w:rPr>
        <w:t xml:space="preserve">draft </w:t>
      </w:r>
      <w:r w:rsidR="0041321C">
        <w:rPr>
          <w:noProof/>
        </w:rPr>
        <w:t>Foreign Subsidies Implementing Regulation (</w:t>
      </w:r>
      <w:r w:rsidR="002D20EF">
        <w:rPr>
          <w:noProof/>
        </w:rPr>
        <w:t>‘</w:t>
      </w:r>
      <w:r w:rsidR="006D5A3E">
        <w:rPr>
          <w:noProof/>
        </w:rPr>
        <w:t>FSIR</w:t>
      </w:r>
      <w:r w:rsidR="001238DC">
        <w:rPr>
          <w:noProof/>
        </w:rPr>
        <w:t>’</w:t>
      </w:r>
      <w:r w:rsidR="0041321C">
        <w:rPr>
          <w:noProof/>
        </w:rPr>
        <w:t>)</w:t>
      </w:r>
      <w:r w:rsidRPr="00CF031D">
        <w:rPr>
          <w:noProof/>
        </w:rPr>
        <w:t xml:space="preserve"> </w:t>
      </w:r>
      <w:r>
        <w:rPr>
          <w:noProof/>
        </w:rPr>
        <w:t>o</w:t>
      </w:r>
      <w:r w:rsidRPr="00751B67">
        <w:rPr>
          <w:noProof/>
        </w:rPr>
        <w:t xml:space="preserve">n </w:t>
      </w:r>
      <w:r w:rsidR="005408A8" w:rsidRPr="00751B67">
        <w:rPr>
          <w:noProof/>
        </w:rPr>
        <w:t>6</w:t>
      </w:r>
      <w:r w:rsidR="005408A8">
        <w:rPr>
          <w:noProof/>
        </w:rPr>
        <w:t> </w:t>
      </w:r>
      <w:r w:rsidRPr="00751B67">
        <w:rPr>
          <w:noProof/>
        </w:rPr>
        <w:t xml:space="preserve">February 2023. Interested </w:t>
      </w:r>
      <w:r>
        <w:rPr>
          <w:noProof/>
        </w:rPr>
        <w:t>stakeholders</w:t>
      </w:r>
      <w:r w:rsidRPr="00751B67">
        <w:rPr>
          <w:noProof/>
        </w:rPr>
        <w:t xml:space="preserve"> were invited to submit their comments by </w:t>
      </w:r>
      <w:r w:rsidR="005408A8" w:rsidRPr="00751B67">
        <w:rPr>
          <w:noProof/>
        </w:rPr>
        <w:t>6</w:t>
      </w:r>
      <w:r w:rsidR="005408A8">
        <w:rPr>
          <w:noProof/>
        </w:rPr>
        <w:t> </w:t>
      </w:r>
      <w:r w:rsidRPr="00751B67">
        <w:rPr>
          <w:noProof/>
        </w:rPr>
        <w:t xml:space="preserve">March 2023 via the </w:t>
      </w:r>
      <w:r>
        <w:rPr>
          <w:noProof/>
        </w:rPr>
        <w:t>‘</w:t>
      </w:r>
      <w:r w:rsidRPr="00751B67">
        <w:rPr>
          <w:noProof/>
        </w:rPr>
        <w:t>Have Your Say</w:t>
      </w:r>
      <w:r>
        <w:rPr>
          <w:noProof/>
        </w:rPr>
        <w:t>’</w:t>
      </w:r>
      <w:r w:rsidRPr="00751B67">
        <w:rPr>
          <w:noProof/>
        </w:rPr>
        <w:t xml:space="preserve"> portal</w:t>
      </w:r>
      <w:r>
        <w:rPr>
          <w:noProof/>
        </w:rPr>
        <w:t xml:space="preserve"> and 74 of them submitted feedback</w:t>
      </w:r>
      <w:r w:rsidR="005408A8">
        <w:rPr>
          <w:noProof/>
        </w:rPr>
        <w:t>,</w:t>
      </w:r>
      <w:r>
        <w:rPr>
          <w:noProof/>
        </w:rPr>
        <w:t xml:space="preserve"> which was taken into account </w:t>
      </w:r>
      <w:r w:rsidR="007D52C9">
        <w:rPr>
          <w:noProof/>
        </w:rPr>
        <w:t xml:space="preserve">in </w:t>
      </w:r>
      <w:r>
        <w:rPr>
          <w:noProof/>
        </w:rPr>
        <w:t>the final FSIR</w:t>
      </w:r>
      <w:r w:rsidR="005408A8">
        <w:rPr>
          <w:noProof/>
        </w:rPr>
        <w:t> </w:t>
      </w:r>
      <w:r w:rsidR="00BD1033" w:rsidRPr="00BD1033">
        <w:rPr>
          <w:noProof/>
        </w:rPr>
        <w:t>(</w:t>
      </w:r>
      <w:r w:rsidRPr="00A47B29">
        <w:rPr>
          <w:rStyle w:val="FootnoteReference"/>
          <w:noProof/>
        </w:rPr>
        <w:footnoteReference w:id="14"/>
      </w:r>
      <w:r w:rsidR="00BD1033">
        <w:rPr>
          <w:noProof/>
        </w:rPr>
        <w:t>)</w:t>
      </w:r>
      <w:r w:rsidR="002D20EF">
        <w:rPr>
          <w:noProof/>
        </w:rPr>
        <w:t>.</w:t>
      </w:r>
      <w:r w:rsidR="006D5A3E">
        <w:rPr>
          <w:noProof/>
        </w:rPr>
        <w:t xml:space="preserve"> The Commission also carried out </w:t>
      </w:r>
      <w:r w:rsidR="007A3981">
        <w:rPr>
          <w:noProof/>
        </w:rPr>
        <w:t>target</w:t>
      </w:r>
      <w:r w:rsidR="006D5A3E">
        <w:rPr>
          <w:noProof/>
        </w:rPr>
        <w:t>ed consultations with selected stakeholders and the draft FSIR was approved by the Foreign Subsidies Advisory Committee</w:t>
      </w:r>
      <w:r w:rsidR="000D627F">
        <w:rPr>
          <w:noProof/>
        </w:rPr>
        <w:t>,</w:t>
      </w:r>
      <w:r w:rsidR="006D5A3E">
        <w:rPr>
          <w:noProof/>
        </w:rPr>
        <w:t xml:space="preserve"> in line with </w:t>
      </w:r>
      <w:r w:rsidR="00BE7625">
        <w:rPr>
          <w:noProof/>
        </w:rPr>
        <w:t>Article </w:t>
      </w:r>
      <w:r w:rsidR="006D5A3E">
        <w:rPr>
          <w:noProof/>
        </w:rPr>
        <w:t>48 FSR</w:t>
      </w:r>
      <w:r w:rsidR="007428A4" w:rsidRPr="007428A4">
        <w:rPr>
          <w:noProof/>
        </w:rPr>
        <w:t> (</w:t>
      </w:r>
      <w:r w:rsidR="007428A4">
        <w:rPr>
          <w:rStyle w:val="FootnoteReference"/>
          <w:noProof/>
        </w:rPr>
        <w:footnoteReference w:id="15"/>
      </w:r>
      <w:r w:rsidR="007428A4">
        <w:rPr>
          <w:noProof/>
        </w:rPr>
        <w:t>)</w:t>
      </w:r>
      <w:r w:rsidR="00AC0F65">
        <w:rPr>
          <w:noProof/>
        </w:rPr>
        <w:t>.</w:t>
      </w:r>
    </w:p>
    <w:p w14:paraId="7A0B662F" w14:textId="5FF2420B" w:rsidR="0010546C" w:rsidRDefault="0010546C" w:rsidP="004A1922">
      <w:pPr>
        <w:rPr>
          <w:noProof/>
        </w:rPr>
      </w:pPr>
      <w:r w:rsidRPr="00503098">
        <w:rPr>
          <w:noProof/>
        </w:rPr>
        <w:t xml:space="preserve">On 10 July 2023, the Commission adopted the </w:t>
      </w:r>
      <w:r>
        <w:rPr>
          <w:noProof/>
        </w:rPr>
        <w:t>FSIR</w:t>
      </w:r>
      <w:r w:rsidRPr="00503098">
        <w:rPr>
          <w:noProof/>
        </w:rPr>
        <w:t xml:space="preserve"> laying down the procedures for notifying and content of notifications of concentrations and </w:t>
      </w:r>
      <w:r w:rsidR="002E5190">
        <w:rPr>
          <w:noProof/>
        </w:rPr>
        <w:t xml:space="preserve">of </w:t>
      </w:r>
      <w:r w:rsidRPr="00503098">
        <w:rPr>
          <w:noProof/>
        </w:rPr>
        <w:t>public procurement bids</w:t>
      </w:r>
      <w:r w:rsidR="002E5190">
        <w:rPr>
          <w:noProof/>
        </w:rPr>
        <w:t xml:space="preserve"> involving foreign financial contributions</w:t>
      </w:r>
      <w:r w:rsidR="00BE7625">
        <w:rPr>
          <w:noProof/>
        </w:rPr>
        <w:t> </w:t>
      </w:r>
      <w:r w:rsidR="00BD1033" w:rsidRPr="00BD1033">
        <w:rPr>
          <w:noProof/>
        </w:rPr>
        <w:t>(</w:t>
      </w:r>
      <w:r w:rsidRPr="00A47B29">
        <w:rPr>
          <w:rStyle w:val="FootnoteReference"/>
          <w:noProof/>
        </w:rPr>
        <w:footnoteReference w:id="16"/>
      </w:r>
      <w:r w:rsidR="00BD1033">
        <w:rPr>
          <w:noProof/>
        </w:rPr>
        <w:t>)</w:t>
      </w:r>
      <w:r w:rsidR="00AC0F65">
        <w:rPr>
          <w:noProof/>
        </w:rPr>
        <w:t>,</w:t>
      </w:r>
      <w:r w:rsidR="005D43FC">
        <w:rPr>
          <w:noProof/>
        </w:rPr>
        <w:t xml:space="preserve"> </w:t>
      </w:r>
      <w:r w:rsidRPr="00503098">
        <w:rPr>
          <w:noProof/>
        </w:rPr>
        <w:t xml:space="preserve">rules </w:t>
      </w:r>
      <w:r w:rsidR="00C27756">
        <w:rPr>
          <w:noProof/>
        </w:rPr>
        <w:t xml:space="preserve">on disclosure, access to file and confidential information, transparency requirements, </w:t>
      </w:r>
      <w:r w:rsidRPr="00503098">
        <w:rPr>
          <w:noProof/>
        </w:rPr>
        <w:t xml:space="preserve">rules for calculating time limits, and </w:t>
      </w:r>
      <w:r w:rsidR="002E5190">
        <w:rPr>
          <w:noProof/>
        </w:rPr>
        <w:t xml:space="preserve">the Commission’s investigation process, including </w:t>
      </w:r>
      <w:r w:rsidRPr="00503098">
        <w:rPr>
          <w:noProof/>
        </w:rPr>
        <w:t xml:space="preserve">procedural </w:t>
      </w:r>
      <w:r w:rsidR="00C27756">
        <w:rPr>
          <w:noProof/>
        </w:rPr>
        <w:t>details for proposing commitments by the undertaking under investigation</w:t>
      </w:r>
      <w:r w:rsidRPr="00503098">
        <w:rPr>
          <w:noProof/>
        </w:rPr>
        <w:t xml:space="preserve">. On </w:t>
      </w:r>
      <w:r w:rsidR="00BE7625" w:rsidRPr="00503098">
        <w:rPr>
          <w:noProof/>
        </w:rPr>
        <w:t>12</w:t>
      </w:r>
      <w:r w:rsidR="00BE7625">
        <w:rPr>
          <w:noProof/>
        </w:rPr>
        <w:t> </w:t>
      </w:r>
      <w:r w:rsidRPr="00503098">
        <w:rPr>
          <w:noProof/>
        </w:rPr>
        <w:t xml:space="preserve">July 2023, the Commission </w:t>
      </w:r>
      <w:r>
        <w:rPr>
          <w:noProof/>
        </w:rPr>
        <w:t xml:space="preserve">also </w:t>
      </w:r>
      <w:r w:rsidRPr="00503098">
        <w:rPr>
          <w:noProof/>
        </w:rPr>
        <w:t>adopted the Communication C(2023)4749 on transmitting documents to the Commission</w:t>
      </w:r>
      <w:r>
        <w:rPr>
          <w:noProof/>
        </w:rPr>
        <w:t xml:space="preserve"> in the context of the FSR</w:t>
      </w:r>
      <w:r w:rsidR="00BD1033" w:rsidRPr="00BD1033">
        <w:rPr>
          <w:noProof/>
        </w:rPr>
        <w:t> (</w:t>
      </w:r>
      <w:r w:rsidRPr="00A47B29">
        <w:rPr>
          <w:rStyle w:val="FootnoteReference"/>
          <w:noProof/>
        </w:rPr>
        <w:footnoteReference w:id="17"/>
      </w:r>
      <w:r w:rsidR="00BD1033">
        <w:rPr>
          <w:noProof/>
        </w:rPr>
        <w:t>)</w:t>
      </w:r>
      <w:r w:rsidRPr="00503098">
        <w:rPr>
          <w:noProof/>
        </w:rPr>
        <w:t>.</w:t>
      </w:r>
      <w:r w:rsidR="00F27E7F">
        <w:rPr>
          <w:noProof/>
        </w:rPr>
        <w:t xml:space="preserve"> </w:t>
      </w:r>
      <w:r w:rsidR="006377E6">
        <w:rPr>
          <w:noProof/>
        </w:rPr>
        <w:t xml:space="preserve">The FSIR entered into force on </w:t>
      </w:r>
      <w:r w:rsidR="00BE7625">
        <w:rPr>
          <w:noProof/>
        </w:rPr>
        <w:t>13 </w:t>
      </w:r>
      <w:r w:rsidR="006377E6">
        <w:rPr>
          <w:noProof/>
        </w:rPr>
        <w:t>July 2023.</w:t>
      </w:r>
    </w:p>
    <w:p w14:paraId="1D93CEE9" w14:textId="68E892E9" w:rsidR="00417200" w:rsidRDefault="0010546C" w:rsidP="004A1922">
      <w:pPr>
        <w:rPr>
          <w:noProof/>
        </w:rPr>
      </w:pPr>
      <w:r>
        <w:rPr>
          <w:noProof/>
        </w:rPr>
        <w:t xml:space="preserve">The FSR started to apply from </w:t>
      </w:r>
      <w:r w:rsidR="00BE7625">
        <w:rPr>
          <w:noProof/>
        </w:rPr>
        <w:t>13 </w:t>
      </w:r>
      <w:r>
        <w:rPr>
          <w:noProof/>
        </w:rPr>
        <w:t xml:space="preserve">July 2023 and as of that date, the Commission could </w:t>
      </w:r>
      <w:r w:rsidR="00595ACB">
        <w:rPr>
          <w:noProof/>
        </w:rPr>
        <w:t xml:space="preserve">initiate </w:t>
      </w:r>
      <w:r>
        <w:rPr>
          <w:noProof/>
        </w:rPr>
        <w:t xml:space="preserve">ex officio investigations. By way of derogation, the notification obligation, for concentrations under </w:t>
      </w:r>
      <w:r w:rsidR="00BE7625">
        <w:rPr>
          <w:noProof/>
        </w:rPr>
        <w:t>Article </w:t>
      </w:r>
      <w:r>
        <w:rPr>
          <w:noProof/>
        </w:rPr>
        <w:t xml:space="preserve">21 FSR and </w:t>
      </w:r>
      <w:r w:rsidR="0093258F">
        <w:rPr>
          <w:noProof/>
        </w:rPr>
        <w:t xml:space="preserve">for </w:t>
      </w:r>
      <w:r>
        <w:rPr>
          <w:noProof/>
        </w:rPr>
        <w:t xml:space="preserve">foreign financial contributions in public procurement procedures under </w:t>
      </w:r>
      <w:r w:rsidR="00BE7625">
        <w:rPr>
          <w:noProof/>
        </w:rPr>
        <w:t>Article </w:t>
      </w:r>
      <w:r>
        <w:rPr>
          <w:noProof/>
        </w:rPr>
        <w:t>29 FSR</w:t>
      </w:r>
      <w:r w:rsidR="0093258F">
        <w:rPr>
          <w:noProof/>
        </w:rPr>
        <w:t>,</w:t>
      </w:r>
      <w:r>
        <w:rPr>
          <w:noProof/>
        </w:rPr>
        <w:t xml:space="preserve"> started to apply from 13 October 2023.</w:t>
      </w:r>
      <w:r w:rsidR="00467936">
        <w:rPr>
          <w:noProof/>
        </w:rPr>
        <w:t xml:space="preserve"> </w:t>
      </w:r>
      <w:r w:rsidR="00F27E7F">
        <w:rPr>
          <w:noProof/>
        </w:rPr>
        <w:t xml:space="preserve">The rules on the provision of assistance by Member States in the context of inspections under the FSR entered into force on </w:t>
      </w:r>
      <w:r w:rsidR="00BE7625">
        <w:rPr>
          <w:noProof/>
        </w:rPr>
        <w:t>13 </w:t>
      </w:r>
      <w:r w:rsidR="00F27E7F">
        <w:rPr>
          <w:noProof/>
        </w:rPr>
        <w:t>January 2024</w:t>
      </w:r>
      <w:r w:rsidR="001E5545" w:rsidRPr="001E5545">
        <w:rPr>
          <w:noProof/>
        </w:rPr>
        <w:t> (</w:t>
      </w:r>
      <w:r w:rsidR="001E5545">
        <w:rPr>
          <w:rStyle w:val="FootnoteReference"/>
          <w:noProof/>
        </w:rPr>
        <w:footnoteReference w:id="18"/>
      </w:r>
      <w:r w:rsidR="001E5545">
        <w:rPr>
          <w:noProof/>
        </w:rPr>
        <w:t>)</w:t>
      </w:r>
      <w:r w:rsidR="00F27E7F">
        <w:rPr>
          <w:noProof/>
        </w:rPr>
        <w:t xml:space="preserve"> to allow Member States</w:t>
      </w:r>
      <w:r w:rsidR="00BE7F6D">
        <w:rPr>
          <w:noProof/>
        </w:rPr>
        <w:t xml:space="preserve"> sufficient time</w:t>
      </w:r>
      <w:r w:rsidR="00F27E7F">
        <w:rPr>
          <w:noProof/>
        </w:rPr>
        <w:t xml:space="preserve"> to prepare the necessary national administrative framework for such assistance.</w:t>
      </w:r>
    </w:p>
    <w:p w14:paraId="5295AC55" w14:textId="0A750F65" w:rsidR="00B11396" w:rsidRDefault="00B11396" w:rsidP="008E336A">
      <w:pPr>
        <w:pStyle w:val="Heading1"/>
        <w:rPr>
          <w:noProof/>
        </w:rPr>
      </w:pPr>
      <w:bookmarkStart w:id="7" w:name="_Toc234227830"/>
      <w:r w:rsidRPr="008E336A">
        <w:rPr>
          <w:noProof/>
        </w:rPr>
        <w:t>CURRENT</w:t>
      </w:r>
      <w:r>
        <w:rPr>
          <w:noProof/>
        </w:rPr>
        <w:t xml:space="preserve"> SET UP UNDER THE FSR</w:t>
      </w:r>
      <w:bookmarkEnd w:id="7"/>
      <w:r w:rsidR="001E2B38">
        <w:rPr>
          <w:noProof/>
        </w:rPr>
        <w:t xml:space="preserve"> </w:t>
      </w:r>
    </w:p>
    <w:p w14:paraId="0F46220C" w14:textId="3D58E304" w:rsidR="00754856" w:rsidRDefault="00754856" w:rsidP="008E336A">
      <w:pPr>
        <w:pStyle w:val="Heading2"/>
        <w:rPr>
          <w:noProof/>
        </w:rPr>
      </w:pPr>
      <w:bookmarkStart w:id="8" w:name="_Toc234227831"/>
      <w:r w:rsidRPr="008E336A">
        <w:rPr>
          <w:noProof/>
        </w:rPr>
        <w:t>Substantive</w:t>
      </w:r>
      <w:r w:rsidRPr="00754856">
        <w:rPr>
          <w:noProof/>
        </w:rPr>
        <w:t xml:space="preserve"> </w:t>
      </w:r>
      <w:r w:rsidR="00710D3F">
        <w:rPr>
          <w:noProof/>
        </w:rPr>
        <w:t>concepts</w:t>
      </w:r>
      <w:bookmarkEnd w:id="8"/>
    </w:p>
    <w:p w14:paraId="38603BDC" w14:textId="15E9D7E8" w:rsidR="00E60FCE" w:rsidRDefault="00E60FCE" w:rsidP="004A1922">
      <w:pPr>
        <w:rPr>
          <w:noProof/>
        </w:rPr>
      </w:pPr>
      <w:r w:rsidRPr="00E60FCE">
        <w:rPr>
          <w:noProof/>
        </w:rPr>
        <w:t xml:space="preserve">This section outlines the main substantive </w:t>
      </w:r>
      <w:r w:rsidR="006A2A67">
        <w:rPr>
          <w:noProof/>
        </w:rPr>
        <w:t>concepts</w:t>
      </w:r>
      <w:r w:rsidRPr="00E60FCE">
        <w:rPr>
          <w:noProof/>
        </w:rPr>
        <w:t xml:space="preserve"> underpinning the </w:t>
      </w:r>
      <w:r w:rsidR="00E92794">
        <w:rPr>
          <w:noProof/>
        </w:rPr>
        <w:t xml:space="preserve">FSR </w:t>
      </w:r>
      <w:r w:rsidRPr="00E60FCE">
        <w:rPr>
          <w:noProof/>
        </w:rPr>
        <w:t>application</w:t>
      </w:r>
      <w:r w:rsidR="0086160A">
        <w:rPr>
          <w:noProof/>
        </w:rPr>
        <w:t xml:space="preserve">, </w:t>
      </w:r>
      <w:r w:rsidR="0086160A" w:rsidRPr="0086160A">
        <w:rPr>
          <w:noProof/>
        </w:rPr>
        <w:t xml:space="preserve">its enforcement procedures and the division of responsibilities between </w:t>
      </w:r>
      <w:r w:rsidR="007A231D" w:rsidRPr="009B5E11">
        <w:rPr>
          <w:noProof/>
        </w:rPr>
        <w:t>DG Competition</w:t>
      </w:r>
      <w:r w:rsidR="0086160A" w:rsidRPr="0086160A">
        <w:rPr>
          <w:noProof/>
        </w:rPr>
        <w:t xml:space="preserve"> </w:t>
      </w:r>
      <w:r w:rsidR="003201F9" w:rsidDel="000347B9">
        <w:rPr>
          <w:noProof/>
        </w:rPr>
        <w:t xml:space="preserve">(DG </w:t>
      </w:r>
      <w:r w:rsidR="0086160A" w:rsidRPr="0086160A" w:rsidDel="000347B9">
        <w:rPr>
          <w:noProof/>
        </w:rPr>
        <w:t>COMP</w:t>
      </w:r>
      <w:r w:rsidR="003201F9" w:rsidDel="000347B9">
        <w:rPr>
          <w:noProof/>
        </w:rPr>
        <w:t>)</w:t>
      </w:r>
      <w:r w:rsidR="0086160A" w:rsidRPr="0086160A">
        <w:rPr>
          <w:noProof/>
        </w:rPr>
        <w:t xml:space="preserve"> and DG </w:t>
      </w:r>
      <w:r w:rsidR="003201F9" w:rsidRPr="009B5E11">
        <w:rPr>
          <w:noProof/>
        </w:rPr>
        <w:t>Internal Market, Industry, Entrepreneurship and SMEs</w:t>
      </w:r>
      <w:r w:rsidR="003201F9" w:rsidRPr="0086160A">
        <w:rPr>
          <w:noProof/>
        </w:rPr>
        <w:t xml:space="preserve"> </w:t>
      </w:r>
      <w:r w:rsidR="003201F9">
        <w:rPr>
          <w:noProof/>
        </w:rPr>
        <w:t xml:space="preserve">(DG </w:t>
      </w:r>
      <w:r w:rsidR="0086160A" w:rsidRPr="0086160A">
        <w:rPr>
          <w:noProof/>
        </w:rPr>
        <w:t>GROW</w:t>
      </w:r>
      <w:r w:rsidR="003201F9">
        <w:rPr>
          <w:noProof/>
        </w:rPr>
        <w:t>)</w:t>
      </w:r>
      <w:r w:rsidR="0086160A" w:rsidRPr="0086160A">
        <w:rPr>
          <w:noProof/>
        </w:rPr>
        <w:t>, both in charge of the FSR implementation</w:t>
      </w:r>
      <w:r w:rsidR="00E51755">
        <w:rPr>
          <w:noProof/>
        </w:rPr>
        <w:t>,</w:t>
      </w:r>
      <w:r w:rsidR="0086160A" w:rsidRPr="0086160A">
        <w:rPr>
          <w:noProof/>
        </w:rPr>
        <w:t xml:space="preserve"> as well as the interaction of the FSR with the other legal instruments of the Union</w:t>
      </w:r>
      <w:r w:rsidR="0086160A" w:rsidDel="009F46E3">
        <w:rPr>
          <w:noProof/>
        </w:rPr>
        <w:t>.</w:t>
      </w:r>
    </w:p>
    <w:p w14:paraId="332BDF39" w14:textId="7C722267" w:rsidR="00E60FCE" w:rsidRDefault="00E60FCE" w:rsidP="008E336A">
      <w:pPr>
        <w:pStyle w:val="Heading3"/>
        <w:rPr>
          <w:noProof/>
        </w:rPr>
      </w:pPr>
      <w:bookmarkStart w:id="9" w:name="_Toc234227832"/>
      <w:r w:rsidRPr="00E60FCE">
        <w:rPr>
          <w:noProof/>
        </w:rPr>
        <w:t xml:space="preserve">Foreign </w:t>
      </w:r>
      <w:r w:rsidRPr="008E336A">
        <w:rPr>
          <w:noProof/>
        </w:rPr>
        <w:t>financial</w:t>
      </w:r>
      <w:r w:rsidRPr="00E60FCE">
        <w:rPr>
          <w:noProof/>
        </w:rPr>
        <w:t xml:space="preserve"> contributions and foreign subsidies</w:t>
      </w:r>
      <w:bookmarkEnd w:id="9"/>
    </w:p>
    <w:p w14:paraId="059DD402" w14:textId="196AB3EE" w:rsidR="00E60FCE" w:rsidRDefault="00E60FCE" w:rsidP="004A1922">
      <w:pPr>
        <w:rPr>
          <w:noProof/>
        </w:rPr>
      </w:pPr>
      <w:r w:rsidRPr="00E60FCE">
        <w:rPr>
          <w:noProof/>
        </w:rPr>
        <w:t>The FSR relies on the concept of foreign financial contributions (</w:t>
      </w:r>
      <w:r w:rsidR="00DC4414">
        <w:rPr>
          <w:noProof/>
        </w:rPr>
        <w:t>‘</w:t>
      </w:r>
      <w:r w:rsidRPr="00E60FCE">
        <w:rPr>
          <w:noProof/>
        </w:rPr>
        <w:t>FFCs</w:t>
      </w:r>
      <w:r w:rsidR="00DC4414">
        <w:rPr>
          <w:noProof/>
        </w:rPr>
        <w:t>’</w:t>
      </w:r>
      <w:r w:rsidRPr="00E60FCE">
        <w:rPr>
          <w:noProof/>
        </w:rPr>
        <w:t xml:space="preserve">) as a starting point for its enforcement framework. </w:t>
      </w:r>
      <w:r w:rsidR="00BE7625" w:rsidRPr="00E60FCE">
        <w:rPr>
          <w:noProof/>
        </w:rPr>
        <w:t>Article</w:t>
      </w:r>
      <w:r w:rsidR="00BE7625">
        <w:rPr>
          <w:noProof/>
        </w:rPr>
        <w:t> </w:t>
      </w:r>
      <w:r w:rsidRPr="00E60FCE">
        <w:rPr>
          <w:noProof/>
        </w:rPr>
        <w:t xml:space="preserve">3(2) FSR defines </w:t>
      </w:r>
      <w:r w:rsidR="00BE7F6D">
        <w:rPr>
          <w:noProof/>
        </w:rPr>
        <w:t xml:space="preserve">the notion of </w:t>
      </w:r>
      <w:r w:rsidRPr="00E60FCE">
        <w:rPr>
          <w:noProof/>
        </w:rPr>
        <w:t>FFCs</w:t>
      </w:r>
      <w:r w:rsidR="00523CC7">
        <w:rPr>
          <w:noProof/>
        </w:rPr>
        <w:t xml:space="preserve"> to</w:t>
      </w:r>
      <w:r w:rsidRPr="00E60FCE">
        <w:rPr>
          <w:noProof/>
        </w:rPr>
        <w:t xml:space="preserve"> </w:t>
      </w:r>
      <w:r w:rsidR="00825090">
        <w:rPr>
          <w:noProof/>
        </w:rPr>
        <w:t>include</w:t>
      </w:r>
      <w:r w:rsidR="00523CC7">
        <w:rPr>
          <w:noProof/>
        </w:rPr>
        <w:t xml:space="preserve"> any </w:t>
      </w:r>
      <w:r w:rsidR="00EA035A">
        <w:rPr>
          <w:noProof/>
        </w:rPr>
        <w:t xml:space="preserve">financial exchange with a third country government or entity </w:t>
      </w:r>
      <w:r w:rsidR="00EA035A" w:rsidRPr="00EA035A">
        <w:rPr>
          <w:noProof/>
        </w:rPr>
        <w:t xml:space="preserve">whose actions can be attributed to </w:t>
      </w:r>
      <w:r w:rsidR="00EA035A">
        <w:rPr>
          <w:noProof/>
        </w:rPr>
        <w:t>a third country</w:t>
      </w:r>
      <w:r w:rsidR="00523CC7">
        <w:rPr>
          <w:noProof/>
        </w:rPr>
        <w:t>, such as</w:t>
      </w:r>
      <w:r w:rsidR="00825090">
        <w:rPr>
          <w:noProof/>
        </w:rPr>
        <w:t xml:space="preserve"> </w:t>
      </w:r>
      <w:r w:rsidR="0093258F">
        <w:rPr>
          <w:noProof/>
        </w:rPr>
        <w:t>direct</w:t>
      </w:r>
      <w:r w:rsidRPr="00E60FCE">
        <w:rPr>
          <w:noProof/>
        </w:rPr>
        <w:t xml:space="preserve"> transfers of funds or liabilities, the foregoing of revenue otherwise due, and the provision or purchase of goods or services. The notion of FFC</w:t>
      </w:r>
      <w:r w:rsidR="00BE7F6D">
        <w:rPr>
          <w:noProof/>
        </w:rPr>
        <w:t>s</w:t>
      </w:r>
      <w:r w:rsidRPr="00E60FCE">
        <w:rPr>
          <w:noProof/>
        </w:rPr>
        <w:t xml:space="preserve"> serves as a </w:t>
      </w:r>
      <w:r w:rsidR="0086160A">
        <w:rPr>
          <w:noProof/>
        </w:rPr>
        <w:t xml:space="preserve">basis for the </w:t>
      </w:r>
      <w:r w:rsidRPr="00E60FCE">
        <w:rPr>
          <w:noProof/>
        </w:rPr>
        <w:t>jurisdiction</w:t>
      </w:r>
      <w:r w:rsidR="0086160A">
        <w:rPr>
          <w:noProof/>
        </w:rPr>
        <w:t>al</w:t>
      </w:r>
      <w:r w:rsidRPr="00E60FCE">
        <w:rPr>
          <w:noProof/>
        </w:rPr>
        <w:t xml:space="preserve"> </w:t>
      </w:r>
      <w:r w:rsidR="0086160A">
        <w:rPr>
          <w:noProof/>
        </w:rPr>
        <w:t xml:space="preserve">threshold for the purposes of </w:t>
      </w:r>
      <w:r w:rsidR="00523CC7">
        <w:rPr>
          <w:noProof/>
        </w:rPr>
        <w:t xml:space="preserve">ex ante </w:t>
      </w:r>
      <w:r w:rsidR="004F4FA5">
        <w:rPr>
          <w:noProof/>
        </w:rPr>
        <w:t xml:space="preserve">notification </w:t>
      </w:r>
      <w:r w:rsidR="00280E1E">
        <w:rPr>
          <w:noProof/>
        </w:rPr>
        <w:t>procedures</w:t>
      </w:r>
      <w:r w:rsidR="0088027C">
        <w:rPr>
          <w:noProof/>
        </w:rPr>
        <w:t xml:space="preserve"> </w:t>
      </w:r>
      <w:r w:rsidR="00523CC7">
        <w:rPr>
          <w:noProof/>
        </w:rPr>
        <w:t xml:space="preserve">under the FSR </w:t>
      </w:r>
      <w:r w:rsidR="0088027C">
        <w:rPr>
          <w:noProof/>
        </w:rPr>
        <w:t xml:space="preserve">and underlying reporting </w:t>
      </w:r>
      <w:r w:rsidR="00280E1E">
        <w:rPr>
          <w:noProof/>
        </w:rPr>
        <w:t xml:space="preserve">obligations </w:t>
      </w:r>
      <w:r w:rsidR="0086160A">
        <w:rPr>
          <w:noProof/>
        </w:rPr>
        <w:t>under Articles</w:t>
      </w:r>
      <w:r w:rsidR="00BE7625">
        <w:rPr>
          <w:noProof/>
        </w:rPr>
        <w:t> </w:t>
      </w:r>
      <w:r w:rsidR="0086160A">
        <w:rPr>
          <w:noProof/>
        </w:rPr>
        <w:t>21 and 29 FSR</w:t>
      </w:r>
      <w:r w:rsidR="00DA06AE">
        <w:rPr>
          <w:noProof/>
        </w:rPr>
        <w:t>.</w:t>
      </w:r>
      <w:r w:rsidRPr="00E60FCE">
        <w:rPr>
          <w:noProof/>
        </w:rPr>
        <w:t xml:space="preserve"> </w:t>
      </w:r>
    </w:p>
    <w:p w14:paraId="16674C3E" w14:textId="31F60C61" w:rsidR="00F27B14" w:rsidRDefault="003B30CC" w:rsidP="004A1922">
      <w:pPr>
        <w:rPr>
          <w:noProof/>
        </w:rPr>
      </w:pPr>
      <w:r>
        <w:rPr>
          <w:noProof/>
        </w:rPr>
        <w:t xml:space="preserve">The </w:t>
      </w:r>
      <w:r w:rsidR="00523CC7">
        <w:rPr>
          <w:noProof/>
        </w:rPr>
        <w:t>FFCs itself,</w:t>
      </w:r>
      <w:r w:rsidR="00280E1E">
        <w:rPr>
          <w:noProof/>
        </w:rPr>
        <w:t xml:space="preserve"> however,</w:t>
      </w:r>
      <w:r>
        <w:rPr>
          <w:noProof/>
        </w:rPr>
        <w:t xml:space="preserve"> is not sufficient to </w:t>
      </w:r>
      <w:r w:rsidR="00E51755">
        <w:rPr>
          <w:noProof/>
        </w:rPr>
        <w:t xml:space="preserve">conclude on </w:t>
      </w:r>
      <w:r w:rsidR="0093258F">
        <w:rPr>
          <w:noProof/>
        </w:rPr>
        <w:t xml:space="preserve">the </w:t>
      </w:r>
      <w:r w:rsidR="00E51755">
        <w:rPr>
          <w:noProof/>
        </w:rPr>
        <w:t xml:space="preserve">existence </w:t>
      </w:r>
      <w:r w:rsidR="0093258F">
        <w:rPr>
          <w:noProof/>
        </w:rPr>
        <w:t>of</w:t>
      </w:r>
      <w:r w:rsidR="00E60FCE" w:rsidRPr="00E60FCE" w:rsidDel="0093258F">
        <w:rPr>
          <w:noProof/>
        </w:rPr>
        <w:t xml:space="preserve"> </w:t>
      </w:r>
      <w:r w:rsidR="00E60FCE" w:rsidRPr="00E60FCE">
        <w:rPr>
          <w:noProof/>
        </w:rPr>
        <w:t xml:space="preserve">a foreign subsidy. Under </w:t>
      </w:r>
      <w:r w:rsidR="00BE7625">
        <w:rPr>
          <w:noProof/>
        </w:rPr>
        <w:t>Article </w:t>
      </w:r>
      <w:r w:rsidR="004F4FA5">
        <w:rPr>
          <w:noProof/>
        </w:rPr>
        <w:t>3(1)</w:t>
      </w:r>
      <w:r w:rsidR="004F4FA5" w:rsidRPr="00E60FCE">
        <w:rPr>
          <w:noProof/>
        </w:rPr>
        <w:t xml:space="preserve"> </w:t>
      </w:r>
      <w:r w:rsidR="00E60FCE" w:rsidRPr="00E60FCE">
        <w:rPr>
          <w:noProof/>
        </w:rPr>
        <w:t>FSR, a</w:t>
      </w:r>
      <w:r w:rsidR="00523CC7">
        <w:rPr>
          <w:noProof/>
        </w:rPr>
        <w:t>n FFC granted directly or indirectly by a third country will be a</w:t>
      </w:r>
      <w:r w:rsidR="00E60FCE" w:rsidRPr="00E60FCE">
        <w:rPr>
          <w:noProof/>
        </w:rPr>
        <w:t xml:space="preserve"> foreign subsidy </w:t>
      </w:r>
      <w:r w:rsidR="00280E1E">
        <w:rPr>
          <w:noProof/>
        </w:rPr>
        <w:t>if</w:t>
      </w:r>
      <w:r w:rsidR="00F469D7">
        <w:rPr>
          <w:noProof/>
        </w:rPr>
        <w:t xml:space="preserve"> </w:t>
      </w:r>
      <w:r w:rsidR="00523CC7">
        <w:rPr>
          <w:noProof/>
        </w:rPr>
        <w:t>it</w:t>
      </w:r>
      <w:r w:rsidR="00F469D7">
        <w:rPr>
          <w:noProof/>
        </w:rPr>
        <w:t xml:space="preserve"> (i</w:t>
      </w:r>
      <w:r w:rsidR="00BE7625">
        <w:rPr>
          <w:noProof/>
        </w:rPr>
        <w:t>) </w:t>
      </w:r>
      <w:r w:rsidR="00E60FCE" w:rsidRPr="00E60FCE">
        <w:rPr>
          <w:noProof/>
        </w:rPr>
        <w:t>confers a benefit on an undertaking</w:t>
      </w:r>
      <w:r w:rsidR="00016CDD">
        <w:rPr>
          <w:noProof/>
        </w:rPr>
        <w:t xml:space="preserve"> engaging in an economic activity in the internal market</w:t>
      </w:r>
      <w:r w:rsidR="00F469D7">
        <w:rPr>
          <w:noProof/>
        </w:rPr>
        <w:t>,</w:t>
      </w:r>
      <w:r w:rsidR="00E60FCE" w:rsidRPr="00E60FCE">
        <w:rPr>
          <w:noProof/>
        </w:rPr>
        <w:t xml:space="preserve"> and </w:t>
      </w:r>
      <w:r w:rsidR="00F469D7">
        <w:rPr>
          <w:noProof/>
        </w:rPr>
        <w:t>(ii</w:t>
      </w:r>
      <w:r w:rsidR="00BE7625">
        <w:rPr>
          <w:noProof/>
        </w:rPr>
        <w:t>) </w:t>
      </w:r>
      <w:r w:rsidR="00E60FCE" w:rsidRPr="00E60FCE">
        <w:rPr>
          <w:noProof/>
        </w:rPr>
        <w:t xml:space="preserve">is </w:t>
      </w:r>
      <w:r w:rsidR="004F4FA5">
        <w:rPr>
          <w:noProof/>
        </w:rPr>
        <w:t>limited, in law or in fact, to one or more undertakings or industries</w:t>
      </w:r>
      <w:r w:rsidR="00E60FCE" w:rsidRPr="00E60FCE">
        <w:rPr>
          <w:noProof/>
        </w:rPr>
        <w:t xml:space="preserve">. The distinction between FFCs and foreign subsidies is therefore central to the structure of the </w:t>
      </w:r>
      <w:r w:rsidR="00523CC7">
        <w:rPr>
          <w:noProof/>
        </w:rPr>
        <w:t>FSR</w:t>
      </w:r>
      <w:r w:rsidR="00E60FCE" w:rsidRPr="00E60FCE">
        <w:rPr>
          <w:noProof/>
        </w:rPr>
        <w:t>.</w:t>
      </w:r>
      <w:r>
        <w:rPr>
          <w:noProof/>
        </w:rPr>
        <w:t xml:space="preserve"> </w:t>
      </w:r>
    </w:p>
    <w:p w14:paraId="28B671AB" w14:textId="712A12A6" w:rsidR="00E60FCE" w:rsidRDefault="00B02C20" w:rsidP="004A1922">
      <w:pPr>
        <w:rPr>
          <w:noProof/>
        </w:rPr>
      </w:pPr>
      <w:r>
        <w:rPr>
          <w:noProof/>
        </w:rPr>
        <w:t>W</w:t>
      </w:r>
      <w:r w:rsidR="003B30CC">
        <w:rPr>
          <w:noProof/>
        </w:rPr>
        <w:t>hen</w:t>
      </w:r>
      <w:r>
        <w:rPr>
          <w:noProof/>
        </w:rPr>
        <w:t xml:space="preserve"> the Commission </w:t>
      </w:r>
      <w:r w:rsidR="00825090">
        <w:rPr>
          <w:noProof/>
        </w:rPr>
        <w:t xml:space="preserve">has </w:t>
      </w:r>
      <w:r w:rsidR="003B30CC">
        <w:rPr>
          <w:noProof/>
        </w:rPr>
        <w:t>sufficient indications on the presence of foreign subsidies</w:t>
      </w:r>
      <w:r w:rsidR="00825090">
        <w:rPr>
          <w:noProof/>
        </w:rPr>
        <w:t xml:space="preserve"> distorting the internal market</w:t>
      </w:r>
      <w:r w:rsidR="003B30CC">
        <w:rPr>
          <w:noProof/>
        </w:rPr>
        <w:t xml:space="preserve">, </w:t>
      </w:r>
      <w:r>
        <w:rPr>
          <w:noProof/>
        </w:rPr>
        <w:t xml:space="preserve">it </w:t>
      </w:r>
      <w:r w:rsidR="00751051">
        <w:rPr>
          <w:noProof/>
        </w:rPr>
        <w:t xml:space="preserve">shall </w:t>
      </w:r>
      <w:r>
        <w:rPr>
          <w:noProof/>
        </w:rPr>
        <w:t xml:space="preserve">open </w:t>
      </w:r>
      <w:r w:rsidR="00825090">
        <w:rPr>
          <w:noProof/>
        </w:rPr>
        <w:t xml:space="preserve">an </w:t>
      </w:r>
      <w:r>
        <w:rPr>
          <w:noProof/>
        </w:rPr>
        <w:t>in-depth investigation</w:t>
      </w:r>
      <w:r w:rsidDel="00825090">
        <w:rPr>
          <w:noProof/>
        </w:rPr>
        <w:t xml:space="preserve"> </w:t>
      </w:r>
      <w:r w:rsidR="00F27B14">
        <w:rPr>
          <w:noProof/>
        </w:rPr>
        <w:t>under the FSR</w:t>
      </w:r>
      <w:r w:rsidR="003B30CC">
        <w:rPr>
          <w:noProof/>
        </w:rPr>
        <w:t xml:space="preserve">. </w:t>
      </w:r>
    </w:p>
    <w:p w14:paraId="32F63C43" w14:textId="37FF07CE" w:rsidR="00E60FCE" w:rsidRDefault="00E60FCE" w:rsidP="008E336A">
      <w:pPr>
        <w:pStyle w:val="Heading3"/>
        <w:rPr>
          <w:noProof/>
        </w:rPr>
      </w:pPr>
      <w:bookmarkStart w:id="10" w:name="_Ref227150420"/>
      <w:bookmarkStart w:id="11" w:name="_Toc234227833"/>
      <w:r w:rsidRPr="008E336A">
        <w:rPr>
          <w:noProof/>
        </w:rPr>
        <w:t>Distortion</w:t>
      </w:r>
      <w:r w:rsidRPr="00E60FCE">
        <w:rPr>
          <w:noProof/>
        </w:rPr>
        <w:t xml:space="preserve"> of the internal market</w:t>
      </w:r>
      <w:bookmarkEnd w:id="10"/>
      <w:bookmarkEnd w:id="11"/>
    </w:p>
    <w:p w14:paraId="52F8A5CD" w14:textId="77777777" w:rsidR="00E22742" w:rsidRDefault="00E22742" w:rsidP="004A1922">
      <w:pPr>
        <w:rPr>
          <w:noProof/>
        </w:rPr>
      </w:pPr>
      <w:r>
        <w:rPr>
          <w:noProof/>
        </w:rPr>
        <w:t xml:space="preserve">Once the existence of a foreign subsidy is established, the Commission should assess if the foreign subsidy is distortive to the internal market. </w:t>
      </w:r>
    </w:p>
    <w:p w14:paraId="277E0569" w14:textId="449C0A6D" w:rsidR="00830C35" w:rsidRDefault="00BE7625" w:rsidP="004A1922">
      <w:pPr>
        <w:rPr>
          <w:noProof/>
        </w:rPr>
      </w:pPr>
      <w:r>
        <w:rPr>
          <w:noProof/>
        </w:rPr>
        <w:t>Articles </w:t>
      </w:r>
      <w:r w:rsidR="00E60FCE">
        <w:rPr>
          <w:noProof/>
        </w:rPr>
        <w:t xml:space="preserve">4 and 5 FSR set out the framework for assessing whether a foreign subsidy distorts the internal market. </w:t>
      </w:r>
      <w:r>
        <w:rPr>
          <w:noProof/>
        </w:rPr>
        <w:t>Article </w:t>
      </w:r>
      <w:r w:rsidR="00E60FCE">
        <w:rPr>
          <w:noProof/>
        </w:rPr>
        <w:t>4</w:t>
      </w:r>
      <w:r w:rsidR="0093258F">
        <w:rPr>
          <w:noProof/>
        </w:rPr>
        <w:t xml:space="preserve"> FSR</w:t>
      </w:r>
      <w:r w:rsidR="00E60FCE">
        <w:rPr>
          <w:noProof/>
        </w:rPr>
        <w:t xml:space="preserve"> establishes the general concept of distortion, focusing </w:t>
      </w:r>
      <w:r w:rsidR="00016CDD">
        <w:rPr>
          <w:noProof/>
        </w:rPr>
        <w:t>on two cumulative criteria: (i</w:t>
      </w:r>
      <w:r>
        <w:rPr>
          <w:noProof/>
        </w:rPr>
        <w:t>) </w:t>
      </w:r>
      <w:r w:rsidR="00E60FCE">
        <w:rPr>
          <w:noProof/>
        </w:rPr>
        <w:t>whether a foreign subsidy improves the competitive position of an undertaking in the internal market and</w:t>
      </w:r>
      <w:r w:rsidR="00016CDD">
        <w:rPr>
          <w:noProof/>
        </w:rPr>
        <w:t>,</w:t>
      </w:r>
      <w:r w:rsidR="00E60FCE">
        <w:rPr>
          <w:noProof/>
        </w:rPr>
        <w:t xml:space="preserve"> </w:t>
      </w:r>
      <w:r w:rsidR="00016CDD">
        <w:rPr>
          <w:noProof/>
        </w:rPr>
        <w:t>in doing so, (ii</w:t>
      </w:r>
      <w:r>
        <w:rPr>
          <w:noProof/>
        </w:rPr>
        <w:t>) </w:t>
      </w:r>
      <w:r w:rsidR="00016CDD">
        <w:rPr>
          <w:noProof/>
        </w:rPr>
        <w:t>actually or potentially</w:t>
      </w:r>
      <w:r w:rsidR="00E60FCE">
        <w:rPr>
          <w:noProof/>
        </w:rPr>
        <w:t xml:space="preserve"> </w:t>
      </w:r>
      <w:r w:rsidR="0093258F">
        <w:rPr>
          <w:noProof/>
        </w:rPr>
        <w:t xml:space="preserve">negatively </w:t>
      </w:r>
      <w:r w:rsidR="00E60FCE">
        <w:rPr>
          <w:noProof/>
        </w:rPr>
        <w:t>affects competition.</w:t>
      </w:r>
      <w:r w:rsidR="0093258F">
        <w:rPr>
          <w:noProof/>
        </w:rPr>
        <w:t xml:space="preserve"> </w:t>
      </w:r>
      <w:r w:rsidR="00E60FCE">
        <w:rPr>
          <w:noProof/>
        </w:rPr>
        <w:t>Article</w:t>
      </w:r>
      <w:r>
        <w:rPr>
          <w:noProof/>
        </w:rPr>
        <w:t> </w:t>
      </w:r>
      <w:r w:rsidR="00E60FCE">
        <w:rPr>
          <w:noProof/>
        </w:rPr>
        <w:t xml:space="preserve">5 </w:t>
      </w:r>
      <w:r w:rsidR="0093258F">
        <w:rPr>
          <w:noProof/>
        </w:rPr>
        <w:t xml:space="preserve">FSR </w:t>
      </w:r>
      <w:r w:rsidR="00E60FCE">
        <w:rPr>
          <w:noProof/>
        </w:rPr>
        <w:t>identifies certain categories of foreign subsidies that are considered most likely to distort the internal market</w:t>
      </w:r>
      <w:r w:rsidR="003C5C69">
        <w:rPr>
          <w:noProof/>
        </w:rPr>
        <w:t>. By contrast,</w:t>
      </w:r>
      <w:r w:rsidR="00E60FCE">
        <w:rPr>
          <w:noProof/>
        </w:rPr>
        <w:t xml:space="preserve"> </w:t>
      </w:r>
      <w:r w:rsidR="00751051">
        <w:rPr>
          <w:noProof/>
        </w:rPr>
        <w:t>Article</w:t>
      </w:r>
      <w:r>
        <w:rPr>
          <w:noProof/>
        </w:rPr>
        <w:t> </w:t>
      </w:r>
      <w:r w:rsidR="00751051">
        <w:rPr>
          <w:noProof/>
        </w:rPr>
        <w:t>4(2)</w:t>
      </w:r>
      <w:r w:rsidR="003C5C69">
        <w:rPr>
          <w:noProof/>
        </w:rPr>
        <w:t xml:space="preserve"> FSR establishes a rebuttable presumption that certain foreign subsidies are </w:t>
      </w:r>
      <w:r w:rsidR="00751051">
        <w:rPr>
          <w:noProof/>
        </w:rPr>
        <w:t xml:space="preserve">unlikely </w:t>
      </w:r>
      <w:r w:rsidR="003C5C69">
        <w:rPr>
          <w:noProof/>
        </w:rPr>
        <w:t>to distort the internal market, while Article</w:t>
      </w:r>
      <w:r>
        <w:rPr>
          <w:noProof/>
        </w:rPr>
        <w:t> </w:t>
      </w:r>
      <w:r w:rsidR="003C5C69">
        <w:rPr>
          <w:noProof/>
        </w:rPr>
        <w:t xml:space="preserve">4(3) provides that foreign subsidies below the </w:t>
      </w:r>
      <w:r w:rsidR="003C5C69" w:rsidRPr="005F1BD2">
        <w:rPr>
          <w:i/>
          <w:iCs/>
          <w:noProof/>
        </w:rPr>
        <w:t>de minimis</w:t>
      </w:r>
      <w:r w:rsidR="003C5C69">
        <w:rPr>
          <w:noProof/>
        </w:rPr>
        <w:t xml:space="preserve"> threshold are deemed not </w:t>
      </w:r>
      <w:r w:rsidR="00751051">
        <w:rPr>
          <w:noProof/>
        </w:rPr>
        <w:t>to distort the internal market.</w:t>
      </w:r>
    </w:p>
    <w:p w14:paraId="18AD4856" w14:textId="4C1C7100" w:rsidR="004F4FA5" w:rsidRPr="004F4FA5" w:rsidRDefault="00F6607F" w:rsidP="004A1922">
      <w:pPr>
        <w:rPr>
          <w:noProof/>
        </w:rPr>
      </w:pPr>
      <w:r w:rsidRPr="004F4FA5">
        <w:rPr>
          <w:noProof/>
        </w:rPr>
        <w:t>The approach taken by the Commission in assessing distortions under the FSR has been developed in detail in the Guidelines on the application of certain provisions of Regulation (EU) 2022/2560 of the European Parliament and of the Council on foreign subsidies distorting the internal market (</w:t>
      </w:r>
      <w:r w:rsidR="001238DC">
        <w:rPr>
          <w:noProof/>
        </w:rPr>
        <w:t>‘</w:t>
      </w:r>
      <w:r w:rsidRPr="004F4FA5">
        <w:rPr>
          <w:noProof/>
        </w:rPr>
        <w:t>FSR Guidelines</w:t>
      </w:r>
      <w:r w:rsidR="00DC4414">
        <w:rPr>
          <w:noProof/>
        </w:rPr>
        <w:t>’)</w:t>
      </w:r>
      <w:r w:rsidRPr="004F4FA5">
        <w:rPr>
          <w:noProof/>
        </w:rPr>
        <w:t xml:space="preserve">, published on </w:t>
      </w:r>
      <w:r w:rsidR="000E39D9">
        <w:rPr>
          <w:noProof/>
        </w:rPr>
        <w:t>9</w:t>
      </w:r>
      <w:r w:rsidRPr="004F4FA5">
        <w:rPr>
          <w:noProof/>
        </w:rPr>
        <w:t xml:space="preserve"> January 2026</w:t>
      </w:r>
      <w:r w:rsidR="00F3770F" w:rsidRPr="00F3770F">
        <w:rPr>
          <w:noProof/>
        </w:rPr>
        <w:t> (</w:t>
      </w:r>
      <w:r w:rsidR="00F3770F">
        <w:rPr>
          <w:rStyle w:val="FootnoteReference"/>
          <w:noProof/>
        </w:rPr>
        <w:footnoteReference w:id="19"/>
      </w:r>
      <w:r w:rsidR="00F3770F">
        <w:rPr>
          <w:noProof/>
        </w:rPr>
        <w:t>)</w:t>
      </w:r>
      <w:r w:rsidR="00DC4414">
        <w:rPr>
          <w:noProof/>
        </w:rPr>
        <w:t>.</w:t>
      </w:r>
      <w:r w:rsidR="001B3AAB" w:rsidRPr="004F4FA5">
        <w:rPr>
          <w:noProof/>
        </w:rPr>
        <w:t xml:space="preserve"> In particular, the FSR Guidelines provide insight on the assessment of the two cumulative conditions included in Article</w:t>
      </w:r>
      <w:r w:rsidR="00DC4414">
        <w:rPr>
          <w:noProof/>
        </w:rPr>
        <w:t xml:space="preserve"> </w:t>
      </w:r>
      <w:r w:rsidR="001B3AAB" w:rsidRPr="004F4FA5">
        <w:rPr>
          <w:noProof/>
        </w:rPr>
        <w:t xml:space="preserve">4 </w:t>
      </w:r>
      <w:r w:rsidR="00F469D7">
        <w:rPr>
          <w:noProof/>
        </w:rPr>
        <w:t xml:space="preserve">FSR </w:t>
      </w:r>
      <w:r w:rsidR="001B3AAB" w:rsidRPr="004F4FA5">
        <w:rPr>
          <w:noProof/>
        </w:rPr>
        <w:t xml:space="preserve">– improvement of competitive position of the undertaking and </w:t>
      </w:r>
      <w:r w:rsidR="00016CDD">
        <w:rPr>
          <w:noProof/>
        </w:rPr>
        <w:t xml:space="preserve">the actual or potential </w:t>
      </w:r>
      <w:r w:rsidR="001B3AAB" w:rsidRPr="004F4FA5">
        <w:rPr>
          <w:noProof/>
        </w:rPr>
        <w:t>negative effect on competition</w:t>
      </w:r>
      <w:r w:rsidR="00016CDD">
        <w:rPr>
          <w:noProof/>
        </w:rPr>
        <w:t xml:space="preserve"> in the internal market</w:t>
      </w:r>
      <w:r w:rsidR="001B3AAB" w:rsidRPr="004F4FA5">
        <w:rPr>
          <w:noProof/>
        </w:rPr>
        <w:t xml:space="preserve">. </w:t>
      </w:r>
    </w:p>
    <w:p w14:paraId="771DE52D" w14:textId="4F44EF1F" w:rsidR="00E60FCE" w:rsidRPr="004F5E43" w:rsidRDefault="00E60FCE" w:rsidP="008E336A">
      <w:pPr>
        <w:pStyle w:val="Heading3"/>
        <w:rPr>
          <w:noProof/>
        </w:rPr>
      </w:pPr>
      <w:bookmarkStart w:id="12" w:name="_Toc234227834"/>
      <w:r w:rsidRPr="008E336A">
        <w:rPr>
          <w:noProof/>
        </w:rPr>
        <w:t>Balancing</w:t>
      </w:r>
      <w:r w:rsidRPr="004F5E43">
        <w:rPr>
          <w:noProof/>
        </w:rPr>
        <w:t xml:space="preserve"> </w:t>
      </w:r>
      <w:r w:rsidR="003B30CC" w:rsidRPr="004F5E43">
        <w:rPr>
          <w:noProof/>
        </w:rPr>
        <w:t>test</w:t>
      </w:r>
      <w:bookmarkEnd w:id="12"/>
    </w:p>
    <w:p w14:paraId="7A197BAC" w14:textId="2FAB3966" w:rsidR="00253EB8" w:rsidRDefault="00253EB8" w:rsidP="00253EB8">
      <w:pPr>
        <w:rPr>
          <w:noProof/>
        </w:rPr>
      </w:pPr>
      <w:r>
        <w:rPr>
          <w:noProof/>
        </w:rPr>
        <w:t xml:space="preserve">Once the distortion of the foreign subsidy to the internal market is identified, the parties can bring forward arguments if there are positive effects of the foreign subsidies that can outweigh the negative effects through the so-called balancing test, under </w:t>
      </w:r>
      <w:r w:rsidR="00E60FCE" w:rsidRPr="00E60FCE">
        <w:rPr>
          <w:noProof/>
        </w:rPr>
        <w:t xml:space="preserve">Article </w:t>
      </w:r>
      <w:r>
        <w:rPr>
          <w:noProof/>
        </w:rPr>
        <w:t xml:space="preserve">6 FSR. </w:t>
      </w:r>
    </w:p>
    <w:p w14:paraId="7EA2E087" w14:textId="68686AD7" w:rsidR="00E60FCE" w:rsidRDefault="00BE7625" w:rsidP="004A1922">
      <w:pPr>
        <w:rPr>
          <w:noProof/>
        </w:rPr>
      </w:pPr>
      <w:r w:rsidRPr="00E60FCE">
        <w:rPr>
          <w:noProof/>
        </w:rPr>
        <w:t>Article</w:t>
      </w:r>
      <w:r>
        <w:rPr>
          <w:noProof/>
        </w:rPr>
        <w:t> </w:t>
      </w:r>
      <w:r w:rsidR="00E60FCE" w:rsidRPr="00E60FCE">
        <w:rPr>
          <w:noProof/>
        </w:rPr>
        <w:t xml:space="preserve">6 FSR </w:t>
      </w:r>
      <w:r w:rsidR="002614A4">
        <w:rPr>
          <w:noProof/>
        </w:rPr>
        <w:t xml:space="preserve">envisages that </w:t>
      </w:r>
      <w:r w:rsidR="004F4FA5">
        <w:rPr>
          <w:noProof/>
        </w:rPr>
        <w:t xml:space="preserve">the Commission </w:t>
      </w:r>
      <w:r w:rsidR="002614A4">
        <w:rPr>
          <w:noProof/>
        </w:rPr>
        <w:t>may, on the basis of information received,</w:t>
      </w:r>
      <w:r w:rsidR="004F4FA5">
        <w:rPr>
          <w:noProof/>
        </w:rPr>
        <w:t xml:space="preserve"> conduct a</w:t>
      </w:r>
      <w:r w:rsidR="004F4FA5" w:rsidRPr="00E60FCE">
        <w:rPr>
          <w:noProof/>
        </w:rPr>
        <w:t xml:space="preserve"> </w:t>
      </w:r>
      <w:r w:rsidR="00E60FCE" w:rsidRPr="00E60FCE">
        <w:rPr>
          <w:noProof/>
        </w:rPr>
        <w:t xml:space="preserve">balancing </w:t>
      </w:r>
      <w:r w:rsidR="001B3AAB">
        <w:rPr>
          <w:noProof/>
        </w:rPr>
        <w:t>test</w:t>
      </w:r>
      <w:r w:rsidR="00E60FCE" w:rsidRPr="00E60FCE">
        <w:rPr>
          <w:noProof/>
        </w:rPr>
        <w:t xml:space="preserve"> to take into account the potential positive effects of a foreign subsidy on the development of the subsidised economic activity when assessing its overall impact on the internal market. This</w:t>
      </w:r>
      <w:r w:rsidR="00E60FCE" w:rsidRPr="00E60FCE" w:rsidDel="00353FAB">
        <w:rPr>
          <w:noProof/>
        </w:rPr>
        <w:t xml:space="preserve"> </w:t>
      </w:r>
      <w:r w:rsidR="00353FAB">
        <w:rPr>
          <w:noProof/>
        </w:rPr>
        <w:t>test</w:t>
      </w:r>
      <w:r w:rsidR="00E60FCE" w:rsidRPr="00E60FCE">
        <w:rPr>
          <w:noProof/>
        </w:rPr>
        <w:t xml:space="preserve"> forms part of the substantive assessment framework and may influence the outcome of an investigation where both negative and positive effects are identified</w:t>
      </w:r>
      <w:r w:rsidR="003626AF">
        <w:rPr>
          <w:noProof/>
        </w:rPr>
        <w:t xml:space="preserve"> in terms of the type of decision to be adopted and the appropriateness of remedial measures intended to address the identified distortion</w:t>
      </w:r>
      <w:r w:rsidR="00E60FCE" w:rsidRPr="00E60FCE">
        <w:rPr>
          <w:noProof/>
        </w:rPr>
        <w:t>.</w:t>
      </w:r>
      <w:r w:rsidR="003626AF">
        <w:rPr>
          <w:noProof/>
        </w:rPr>
        <w:t xml:space="preserve"> In all cases, the outcome after conducting a balancing test </w:t>
      </w:r>
      <w:r w:rsidR="00921E53">
        <w:rPr>
          <w:noProof/>
        </w:rPr>
        <w:t xml:space="preserve">should </w:t>
      </w:r>
      <w:r w:rsidR="003626AF">
        <w:rPr>
          <w:noProof/>
        </w:rPr>
        <w:t>not be less favourable to the undertaking under investigation than if no balancing ha</w:t>
      </w:r>
      <w:r w:rsidR="00353FAB">
        <w:rPr>
          <w:noProof/>
        </w:rPr>
        <w:t>d</w:t>
      </w:r>
      <w:r w:rsidR="003626AF">
        <w:rPr>
          <w:noProof/>
        </w:rPr>
        <w:t xml:space="preserve"> taken place.</w:t>
      </w:r>
    </w:p>
    <w:p w14:paraId="33295F00" w14:textId="6AC673D3" w:rsidR="001B3AAB" w:rsidRDefault="001B3AAB" w:rsidP="004A1922">
      <w:pPr>
        <w:rPr>
          <w:noProof/>
        </w:rPr>
      </w:pPr>
      <w:r>
        <w:rPr>
          <w:noProof/>
        </w:rPr>
        <w:t xml:space="preserve">The FSR Guidelines provide </w:t>
      </w:r>
      <w:r w:rsidR="002614A4">
        <w:rPr>
          <w:noProof/>
        </w:rPr>
        <w:t>more information about</w:t>
      </w:r>
      <w:r>
        <w:rPr>
          <w:noProof/>
        </w:rPr>
        <w:t xml:space="preserve"> the way the Commission performs the balancing test, clarifying in particular </w:t>
      </w:r>
      <w:r w:rsidR="004F4FA5">
        <w:rPr>
          <w:noProof/>
        </w:rPr>
        <w:t xml:space="preserve">the situations in which </w:t>
      </w:r>
      <w:r>
        <w:rPr>
          <w:noProof/>
        </w:rPr>
        <w:t>positive effects</w:t>
      </w:r>
      <w:r w:rsidR="004F4FA5">
        <w:rPr>
          <w:noProof/>
        </w:rPr>
        <w:t xml:space="preserve"> may be assessed</w:t>
      </w:r>
      <w:r>
        <w:rPr>
          <w:noProof/>
        </w:rPr>
        <w:t xml:space="preserve">, the types of positive effects that can be taken into account, and </w:t>
      </w:r>
      <w:r w:rsidR="007B1232">
        <w:rPr>
          <w:noProof/>
        </w:rPr>
        <w:t xml:space="preserve">the </w:t>
      </w:r>
      <w:r w:rsidR="004F4FA5">
        <w:rPr>
          <w:noProof/>
        </w:rPr>
        <w:t>conditions that need to be met for those positive effects to be taken into account</w:t>
      </w:r>
      <w:r>
        <w:rPr>
          <w:noProof/>
        </w:rPr>
        <w:t>.</w:t>
      </w:r>
    </w:p>
    <w:p w14:paraId="5C1406CE" w14:textId="4F09AF46" w:rsidR="00B11396" w:rsidRDefault="00CD51B2" w:rsidP="008E336A">
      <w:pPr>
        <w:pStyle w:val="Heading2"/>
        <w:rPr>
          <w:noProof/>
        </w:rPr>
      </w:pPr>
      <w:bookmarkStart w:id="13" w:name="_Toc234227835"/>
      <w:r w:rsidRPr="008E336A">
        <w:rPr>
          <w:noProof/>
        </w:rPr>
        <w:t>Enforcement</w:t>
      </w:r>
      <w:r>
        <w:rPr>
          <w:noProof/>
        </w:rPr>
        <w:t xml:space="preserve"> </w:t>
      </w:r>
      <w:r w:rsidR="006E6C4F">
        <w:rPr>
          <w:noProof/>
        </w:rPr>
        <w:t>procedures</w:t>
      </w:r>
      <w:bookmarkEnd w:id="13"/>
    </w:p>
    <w:p w14:paraId="19567A0E" w14:textId="68FC1985" w:rsidR="00E60FCE" w:rsidRDefault="00E60FCE" w:rsidP="004A1922">
      <w:pPr>
        <w:rPr>
          <w:noProof/>
        </w:rPr>
      </w:pPr>
      <w:r w:rsidRPr="00E60FCE">
        <w:rPr>
          <w:noProof/>
        </w:rPr>
        <w:t xml:space="preserve">The FSR is structured around three enforcement </w:t>
      </w:r>
      <w:r w:rsidR="006E6C4F">
        <w:rPr>
          <w:noProof/>
        </w:rPr>
        <w:t>procedures</w:t>
      </w:r>
      <w:r w:rsidR="00781DB9" w:rsidRPr="00781DB9">
        <w:rPr>
          <w:noProof/>
        </w:rPr>
        <w:t> </w:t>
      </w:r>
      <w:r w:rsidR="003318E4">
        <w:rPr>
          <w:noProof/>
        </w:rPr>
        <w:t>that allow</w:t>
      </w:r>
      <w:r w:rsidRPr="00E60FCE">
        <w:rPr>
          <w:noProof/>
        </w:rPr>
        <w:t xml:space="preserve"> the Commission to address distortions caused by foreign subsidies</w:t>
      </w:r>
      <w:r w:rsidR="006D6FEE">
        <w:rPr>
          <w:noProof/>
        </w:rPr>
        <w:t xml:space="preserve"> </w:t>
      </w:r>
      <w:r w:rsidR="003318E4" w:rsidRPr="00781DB9">
        <w:rPr>
          <w:noProof/>
        </w:rPr>
        <w:t>(</w:t>
      </w:r>
      <w:r w:rsidR="003318E4">
        <w:rPr>
          <w:rStyle w:val="FootnoteReference"/>
          <w:noProof/>
        </w:rPr>
        <w:footnoteReference w:id="20"/>
      </w:r>
      <w:r w:rsidR="003318E4">
        <w:rPr>
          <w:noProof/>
        </w:rPr>
        <w:t>)</w:t>
      </w:r>
      <w:r w:rsidRPr="00E60FCE">
        <w:rPr>
          <w:noProof/>
        </w:rPr>
        <w:t xml:space="preserve">. </w:t>
      </w:r>
      <w:r w:rsidR="00CC2BFA">
        <w:rPr>
          <w:noProof/>
        </w:rPr>
        <w:t xml:space="preserve">While these procedures are based on </w:t>
      </w:r>
      <w:r w:rsidR="00163B5F">
        <w:rPr>
          <w:noProof/>
        </w:rPr>
        <w:t xml:space="preserve">partially </w:t>
      </w:r>
      <w:r w:rsidRPr="00E60FCE">
        <w:rPr>
          <w:noProof/>
        </w:rPr>
        <w:t>distinct framework</w:t>
      </w:r>
      <w:r w:rsidR="00CC2BFA">
        <w:rPr>
          <w:noProof/>
        </w:rPr>
        <w:t>s, they rely on a common set of substantive concepts and investigative powers, and may in certain cases overlap in their application</w:t>
      </w:r>
      <w:r w:rsidR="00BE7625">
        <w:rPr>
          <w:noProof/>
        </w:rPr>
        <w:t>.</w:t>
      </w:r>
      <w:r w:rsidR="00CC2BFA">
        <w:rPr>
          <w:noProof/>
        </w:rPr>
        <w:t xml:space="preserve"> </w:t>
      </w:r>
      <w:r w:rsidR="00BE7625">
        <w:rPr>
          <w:noProof/>
        </w:rPr>
        <w:t xml:space="preserve">In </w:t>
      </w:r>
      <w:r w:rsidR="00CC2BFA">
        <w:rPr>
          <w:noProof/>
        </w:rPr>
        <w:t>particular</w:t>
      </w:r>
      <w:r w:rsidR="00BE7625">
        <w:rPr>
          <w:noProof/>
        </w:rPr>
        <w:t>,</w:t>
      </w:r>
      <w:r w:rsidR="00CC2BFA">
        <w:rPr>
          <w:noProof/>
        </w:rPr>
        <w:t xml:space="preserve"> the ex officio tool may also be used to examine </w:t>
      </w:r>
      <w:r w:rsidR="00FF027A">
        <w:rPr>
          <w:noProof/>
        </w:rPr>
        <w:t xml:space="preserve">economic activities including </w:t>
      </w:r>
      <w:r w:rsidR="00CC2BFA">
        <w:rPr>
          <w:noProof/>
        </w:rPr>
        <w:t>concentrations</w:t>
      </w:r>
      <w:r w:rsidR="00FF027A">
        <w:rPr>
          <w:noProof/>
        </w:rPr>
        <w:t xml:space="preserve"> and public procurement</w:t>
      </w:r>
      <w:r w:rsidR="00790673">
        <w:rPr>
          <w:noProof/>
        </w:rPr>
        <w:t xml:space="preserve"> procedures or other forms of public spending, which do not fall under the </w:t>
      </w:r>
      <w:r w:rsidR="00790673" w:rsidRPr="006D6FEE">
        <w:rPr>
          <w:noProof/>
        </w:rPr>
        <w:t>ex ante</w:t>
      </w:r>
      <w:r w:rsidR="00790673">
        <w:rPr>
          <w:noProof/>
        </w:rPr>
        <w:t xml:space="preserve"> notification obligation, pursuant</w:t>
      </w:r>
      <w:r w:rsidR="00FF027A">
        <w:rPr>
          <w:noProof/>
        </w:rPr>
        <w:t xml:space="preserve"> to </w:t>
      </w:r>
      <w:r w:rsidR="00BE7625">
        <w:rPr>
          <w:noProof/>
        </w:rPr>
        <w:t>Articles </w:t>
      </w:r>
      <w:r w:rsidR="00790673">
        <w:rPr>
          <w:noProof/>
        </w:rPr>
        <w:t>21 and 29 FSR</w:t>
      </w:r>
      <w:r w:rsidR="00FF027A">
        <w:rPr>
          <w:noProof/>
        </w:rPr>
        <w:t>.</w:t>
      </w:r>
      <w:r w:rsidRPr="00E60FCE">
        <w:rPr>
          <w:noProof/>
        </w:rPr>
        <w:t xml:space="preserve"> </w:t>
      </w:r>
    </w:p>
    <w:p w14:paraId="4D525093" w14:textId="0000F431" w:rsidR="00790673" w:rsidRDefault="00BE7625" w:rsidP="00790673">
      <w:pPr>
        <w:rPr>
          <w:noProof/>
        </w:rPr>
      </w:pPr>
      <w:r>
        <w:rPr>
          <w:noProof/>
        </w:rPr>
        <w:t>Under all three enforcement procedures</w:t>
      </w:r>
      <w:r w:rsidR="006D6FEE">
        <w:rPr>
          <w:noProof/>
        </w:rPr>
        <w:t>,</w:t>
      </w:r>
      <w:r>
        <w:rPr>
          <w:noProof/>
        </w:rPr>
        <w:t xml:space="preserve"> t</w:t>
      </w:r>
      <w:r w:rsidR="00790673">
        <w:rPr>
          <w:noProof/>
        </w:rPr>
        <w:t xml:space="preserve">he FSR </w:t>
      </w:r>
      <w:r w:rsidR="0055064F">
        <w:rPr>
          <w:noProof/>
        </w:rPr>
        <w:t>investigations</w:t>
      </w:r>
      <w:r w:rsidR="00AD7055">
        <w:rPr>
          <w:noProof/>
        </w:rPr>
        <w:t xml:space="preserve"> </w:t>
      </w:r>
      <w:r w:rsidR="00921E53">
        <w:rPr>
          <w:noProof/>
        </w:rPr>
        <w:t>have</w:t>
      </w:r>
      <w:r w:rsidR="00790673">
        <w:rPr>
          <w:noProof/>
        </w:rPr>
        <w:t xml:space="preserve"> a two-phase structure, consisting of</w:t>
      </w:r>
      <w:r w:rsidR="00AD7055">
        <w:rPr>
          <w:noProof/>
        </w:rPr>
        <w:t>: (i</w:t>
      </w:r>
      <w:r>
        <w:rPr>
          <w:noProof/>
        </w:rPr>
        <w:t>) </w:t>
      </w:r>
      <w:r w:rsidR="00790673">
        <w:rPr>
          <w:noProof/>
        </w:rPr>
        <w:t>a preliminary review</w:t>
      </w:r>
      <w:r w:rsidR="00AD7055">
        <w:rPr>
          <w:noProof/>
        </w:rPr>
        <w:t>,</w:t>
      </w:r>
      <w:r w:rsidR="00790673">
        <w:rPr>
          <w:noProof/>
        </w:rPr>
        <w:t xml:space="preserve"> </w:t>
      </w:r>
      <w:r w:rsidR="00AD7055">
        <w:rPr>
          <w:noProof/>
        </w:rPr>
        <w:t xml:space="preserve">as set out in </w:t>
      </w:r>
      <w:r w:rsidR="006A2A67">
        <w:rPr>
          <w:noProof/>
        </w:rPr>
        <w:t>Article</w:t>
      </w:r>
      <w:r>
        <w:rPr>
          <w:noProof/>
        </w:rPr>
        <w:t> </w:t>
      </w:r>
      <w:r w:rsidR="006A2A67">
        <w:rPr>
          <w:noProof/>
        </w:rPr>
        <w:t>10</w:t>
      </w:r>
      <w:r w:rsidR="00AD7055">
        <w:rPr>
          <w:noProof/>
        </w:rPr>
        <w:t xml:space="preserve"> </w:t>
      </w:r>
      <w:r w:rsidR="0055064F">
        <w:rPr>
          <w:noProof/>
        </w:rPr>
        <w:t xml:space="preserve">FSR </w:t>
      </w:r>
      <w:r w:rsidR="00790673">
        <w:rPr>
          <w:noProof/>
        </w:rPr>
        <w:t xml:space="preserve">and, where appropriate, </w:t>
      </w:r>
      <w:r w:rsidR="00D13690">
        <w:rPr>
          <w:noProof/>
        </w:rPr>
        <w:t>(ii)</w:t>
      </w:r>
      <w:r>
        <w:rPr>
          <w:noProof/>
        </w:rPr>
        <w:t> </w:t>
      </w:r>
      <w:r w:rsidR="00790673">
        <w:rPr>
          <w:noProof/>
        </w:rPr>
        <w:t xml:space="preserve">an in-depth investigation, </w:t>
      </w:r>
      <w:r w:rsidR="00AD7055">
        <w:rPr>
          <w:noProof/>
        </w:rPr>
        <w:t xml:space="preserve">as set out in </w:t>
      </w:r>
      <w:r>
        <w:rPr>
          <w:noProof/>
        </w:rPr>
        <w:t>Article </w:t>
      </w:r>
      <w:r w:rsidR="00790673">
        <w:rPr>
          <w:noProof/>
        </w:rPr>
        <w:t>11 FSR. These phases determine the procedural steps and timelines of the Commission’s assessment.</w:t>
      </w:r>
    </w:p>
    <w:p w14:paraId="64E5879C" w14:textId="1C171C3E" w:rsidR="000E4A41" w:rsidRDefault="000E4A41" w:rsidP="008E336A">
      <w:pPr>
        <w:pStyle w:val="Heading3"/>
        <w:rPr>
          <w:noProof/>
        </w:rPr>
      </w:pPr>
      <w:bookmarkStart w:id="14" w:name="_Toc234227836"/>
      <w:r w:rsidRPr="000E4A41">
        <w:rPr>
          <w:noProof/>
        </w:rPr>
        <w:t>Ex officio review (</w:t>
      </w:r>
      <w:r w:rsidR="006A2A67" w:rsidRPr="000E4A41">
        <w:rPr>
          <w:noProof/>
        </w:rPr>
        <w:t xml:space="preserve">Article </w:t>
      </w:r>
      <w:r w:rsidR="006A2A67">
        <w:rPr>
          <w:noProof/>
        </w:rPr>
        <w:t>9</w:t>
      </w:r>
      <w:r w:rsidRPr="000E4A41">
        <w:rPr>
          <w:noProof/>
        </w:rPr>
        <w:t xml:space="preserve"> FSR)</w:t>
      </w:r>
      <w:bookmarkEnd w:id="14"/>
    </w:p>
    <w:p w14:paraId="4ABA6C99" w14:textId="01131262" w:rsidR="00830C35" w:rsidRDefault="006A2A67" w:rsidP="004A1922">
      <w:pPr>
        <w:rPr>
          <w:noProof/>
        </w:rPr>
      </w:pPr>
      <w:r>
        <w:rPr>
          <w:noProof/>
        </w:rPr>
        <w:t>Article</w:t>
      </w:r>
      <w:r w:rsidR="00BE7625">
        <w:rPr>
          <w:noProof/>
        </w:rPr>
        <w:t> </w:t>
      </w:r>
      <w:r w:rsidR="00830C35">
        <w:rPr>
          <w:noProof/>
        </w:rPr>
        <w:t xml:space="preserve">9 FSR empowers the Commission to examine, on its own initiative, information </w:t>
      </w:r>
      <w:r w:rsidR="00477B5A">
        <w:rPr>
          <w:noProof/>
        </w:rPr>
        <w:t xml:space="preserve">from any source </w:t>
      </w:r>
      <w:r w:rsidR="00830C35">
        <w:rPr>
          <w:noProof/>
        </w:rPr>
        <w:t>indicating the possible existence of a foreign subsidy distorting the internal market. This ex officio mechanism is not subject to notification obligations or quantitative thresholds.</w:t>
      </w:r>
    </w:p>
    <w:p w14:paraId="2B369B96" w14:textId="4C913043" w:rsidR="00830C35" w:rsidRDefault="00830C35" w:rsidP="004A1922">
      <w:pPr>
        <w:rPr>
          <w:noProof/>
        </w:rPr>
      </w:pPr>
      <w:r>
        <w:rPr>
          <w:noProof/>
        </w:rPr>
        <w:t xml:space="preserve">Where the Commission considers that the information referred to in </w:t>
      </w:r>
      <w:r w:rsidR="006A2A67">
        <w:rPr>
          <w:noProof/>
        </w:rPr>
        <w:t>Article</w:t>
      </w:r>
      <w:r w:rsidR="00BE7625">
        <w:rPr>
          <w:noProof/>
        </w:rPr>
        <w:t> </w:t>
      </w:r>
      <w:r w:rsidR="006A2A67">
        <w:rPr>
          <w:noProof/>
        </w:rPr>
        <w:t>9</w:t>
      </w:r>
      <w:r w:rsidR="007B1232">
        <w:rPr>
          <w:noProof/>
        </w:rPr>
        <w:t xml:space="preserve"> FSR</w:t>
      </w:r>
      <w:r>
        <w:rPr>
          <w:noProof/>
        </w:rPr>
        <w:t xml:space="preserve"> indicates the possibility that a foreign subsidy distorting the internal market exists, it carr</w:t>
      </w:r>
      <w:r w:rsidR="00D13690">
        <w:rPr>
          <w:noProof/>
        </w:rPr>
        <w:t>ies</w:t>
      </w:r>
      <w:r>
        <w:rPr>
          <w:noProof/>
        </w:rPr>
        <w:t xml:space="preserve"> out a preliminary review pursuant to </w:t>
      </w:r>
      <w:r w:rsidR="006A2A67">
        <w:rPr>
          <w:noProof/>
        </w:rPr>
        <w:t>Article</w:t>
      </w:r>
      <w:r w:rsidR="00BE7625">
        <w:rPr>
          <w:noProof/>
        </w:rPr>
        <w:t> </w:t>
      </w:r>
      <w:r w:rsidR="006A2A67">
        <w:rPr>
          <w:noProof/>
        </w:rPr>
        <w:t>10</w:t>
      </w:r>
      <w:r>
        <w:rPr>
          <w:noProof/>
        </w:rPr>
        <w:t xml:space="preserve">(1) FSR. For the purposes of this preliminary </w:t>
      </w:r>
      <w:r w:rsidR="006D6FEE">
        <w:rPr>
          <w:noProof/>
        </w:rPr>
        <w:t>review</w:t>
      </w:r>
      <w:r>
        <w:rPr>
          <w:noProof/>
        </w:rPr>
        <w:t>, the Commission seek</w:t>
      </w:r>
      <w:r w:rsidR="00D13690">
        <w:rPr>
          <w:noProof/>
        </w:rPr>
        <w:t>s</w:t>
      </w:r>
      <w:r>
        <w:rPr>
          <w:noProof/>
        </w:rPr>
        <w:t xml:space="preserve"> all information it considers necessary to determine, on a preliminary basis, whether </w:t>
      </w:r>
      <w:r w:rsidR="00016CDD">
        <w:rPr>
          <w:noProof/>
        </w:rPr>
        <w:t>the FFC</w:t>
      </w:r>
      <w:r>
        <w:rPr>
          <w:noProof/>
        </w:rPr>
        <w:t xml:space="preserve"> under examination constitutes a foreign subsidy and whether it distorts the internal market. To that end, the Commission may request information in accordance with </w:t>
      </w:r>
      <w:r w:rsidR="006A2A67">
        <w:rPr>
          <w:noProof/>
        </w:rPr>
        <w:t>Article</w:t>
      </w:r>
      <w:r w:rsidR="00BE7625">
        <w:rPr>
          <w:noProof/>
        </w:rPr>
        <w:t> </w:t>
      </w:r>
      <w:r w:rsidR="006A2A67">
        <w:rPr>
          <w:noProof/>
        </w:rPr>
        <w:t>13</w:t>
      </w:r>
      <w:r>
        <w:rPr>
          <w:noProof/>
        </w:rPr>
        <w:t xml:space="preserve"> FSR and conduct inspections within or outside the Union pursuant to </w:t>
      </w:r>
      <w:r w:rsidR="00BE7625">
        <w:rPr>
          <w:noProof/>
        </w:rPr>
        <w:t>Articles </w:t>
      </w:r>
      <w:r>
        <w:rPr>
          <w:noProof/>
        </w:rPr>
        <w:t>14 and 15 FSR</w:t>
      </w:r>
      <w:r w:rsidR="007B1232">
        <w:rPr>
          <w:noProof/>
        </w:rPr>
        <w:t xml:space="preserve"> respectively</w:t>
      </w:r>
      <w:r>
        <w:rPr>
          <w:noProof/>
        </w:rPr>
        <w:t xml:space="preserve">. The </w:t>
      </w:r>
      <w:r w:rsidR="006D6FEE">
        <w:rPr>
          <w:noProof/>
        </w:rPr>
        <w:t>FSR</w:t>
      </w:r>
      <w:r>
        <w:rPr>
          <w:noProof/>
        </w:rPr>
        <w:t xml:space="preserve"> does not lay down a fixed statutory deadline for the completion of the preliminary review in ex officio cases.</w:t>
      </w:r>
    </w:p>
    <w:p w14:paraId="5233C95B" w14:textId="37699759" w:rsidR="00830C35" w:rsidRDefault="00830C35" w:rsidP="004A1922">
      <w:pPr>
        <w:rPr>
          <w:noProof/>
        </w:rPr>
      </w:pPr>
      <w:r>
        <w:rPr>
          <w:noProof/>
        </w:rPr>
        <w:t>Where, following the preliminary review</w:t>
      </w:r>
      <w:r w:rsidR="007B1232">
        <w:rPr>
          <w:noProof/>
        </w:rPr>
        <w:t xml:space="preserve"> in an ex officio case</w:t>
      </w:r>
      <w:r>
        <w:rPr>
          <w:noProof/>
        </w:rPr>
        <w:t>, the Commission considers that there are sufficient indications that a foreign subsidy distorts the internal market, it open</w:t>
      </w:r>
      <w:r w:rsidR="00D13690">
        <w:rPr>
          <w:noProof/>
        </w:rPr>
        <w:t>s</w:t>
      </w:r>
      <w:r>
        <w:rPr>
          <w:noProof/>
        </w:rPr>
        <w:t xml:space="preserve"> an in-depth investigation in accordance with </w:t>
      </w:r>
      <w:r w:rsidR="006A2A67">
        <w:rPr>
          <w:noProof/>
        </w:rPr>
        <w:t>Article</w:t>
      </w:r>
      <w:r w:rsidR="00C21909">
        <w:rPr>
          <w:noProof/>
        </w:rPr>
        <w:t> </w:t>
      </w:r>
      <w:r w:rsidR="006A2A67">
        <w:rPr>
          <w:noProof/>
        </w:rPr>
        <w:t>10</w:t>
      </w:r>
      <w:r w:rsidR="007B1232">
        <w:rPr>
          <w:noProof/>
        </w:rPr>
        <w:t>(3)</w:t>
      </w:r>
      <w:r>
        <w:rPr>
          <w:noProof/>
        </w:rPr>
        <w:t xml:space="preserve"> FSR.</w:t>
      </w:r>
      <w:r w:rsidR="007B1232">
        <w:rPr>
          <w:noProof/>
        </w:rPr>
        <w:t xml:space="preserve"> In accordance with </w:t>
      </w:r>
      <w:r w:rsidR="006A2A67">
        <w:rPr>
          <w:noProof/>
        </w:rPr>
        <w:t>Article</w:t>
      </w:r>
      <w:r w:rsidR="00C21909">
        <w:rPr>
          <w:noProof/>
        </w:rPr>
        <w:t> </w:t>
      </w:r>
      <w:r w:rsidR="006A2A67">
        <w:rPr>
          <w:noProof/>
        </w:rPr>
        <w:t>11</w:t>
      </w:r>
      <w:r w:rsidR="007B1232">
        <w:rPr>
          <w:noProof/>
        </w:rPr>
        <w:t xml:space="preserve"> FSR, during the in-depth investigation, the Commission further assess</w:t>
      </w:r>
      <w:r w:rsidR="00D13690">
        <w:rPr>
          <w:noProof/>
        </w:rPr>
        <w:t>es</w:t>
      </w:r>
      <w:r w:rsidR="007B1232">
        <w:rPr>
          <w:noProof/>
        </w:rPr>
        <w:t xml:space="preserve"> the foreign subsidies </w:t>
      </w:r>
      <w:r w:rsidR="00ED57C3">
        <w:rPr>
          <w:noProof/>
        </w:rPr>
        <w:t xml:space="preserve">and their distortive effects </w:t>
      </w:r>
      <w:r w:rsidR="007B1232">
        <w:rPr>
          <w:noProof/>
        </w:rPr>
        <w:t xml:space="preserve">identified in the opening decision and will seek all </w:t>
      </w:r>
      <w:r w:rsidR="00857221">
        <w:rPr>
          <w:noProof/>
        </w:rPr>
        <w:t xml:space="preserve">additional </w:t>
      </w:r>
      <w:r w:rsidR="007B1232">
        <w:rPr>
          <w:noProof/>
        </w:rPr>
        <w:t xml:space="preserve">information necessary by making use of the investigative tools in </w:t>
      </w:r>
      <w:r w:rsidR="006A2A67">
        <w:rPr>
          <w:noProof/>
        </w:rPr>
        <w:t>Articles</w:t>
      </w:r>
      <w:r w:rsidR="00C21909">
        <w:rPr>
          <w:noProof/>
        </w:rPr>
        <w:t> </w:t>
      </w:r>
      <w:r w:rsidR="006A2A67">
        <w:rPr>
          <w:noProof/>
        </w:rPr>
        <w:t>13</w:t>
      </w:r>
      <w:r w:rsidR="007B1232">
        <w:rPr>
          <w:noProof/>
        </w:rPr>
        <w:t xml:space="preserve">, 14 and 15 FSR. </w:t>
      </w:r>
      <w:r w:rsidR="006A2A67">
        <w:rPr>
          <w:noProof/>
        </w:rPr>
        <w:t>Article</w:t>
      </w:r>
      <w:r w:rsidR="00C21909">
        <w:rPr>
          <w:noProof/>
        </w:rPr>
        <w:t> </w:t>
      </w:r>
      <w:r>
        <w:rPr>
          <w:noProof/>
        </w:rPr>
        <w:t xml:space="preserve">11(5) FSR provides that the Commission </w:t>
      </w:r>
      <w:r w:rsidR="00D13690">
        <w:rPr>
          <w:noProof/>
        </w:rPr>
        <w:t xml:space="preserve">will </w:t>
      </w:r>
      <w:r>
        <w:rPr>
          <w:noProof/>
        </w:rPr>
        <w:t xml:space="preserve">endeavour to conclude the in-depth investigation within 18 months </w:t>
      </w:r>
      <w:r w:rsidR="00D13690">
        <w:rPr>
          <w:noProof/>
        </w:rPr>
        <w:t xml:space="preserve">of </w:t>
      </w:r>
      <w:r>
        <w:rPr>
          <w:noProof/>
        </w:rPr>
        <w:t xml:space="preserve">it </w:t>
      </w:r>
      <w:r w:rsidR="00D13690">
        <w:rPr>
          <w:noProof/>
        </w:rPr>
        <w:t xml:space="preserve">being </w:t>
      </w:r>
      <w:r>
        <w:rPr>
          <w:noProof/>
        </w:rPr>
        <w:t>open</w:t>
      </w:r>
      <w:r w:rsidR="00D13690">
        <w:rPr>
          <w:noProof/>
        </w:rPr>
        <w:t>ed</w:t>
      </w:r>
      <w:r>
        <w:rPr>
          <w:noProof/>
        </w:rPr>
        <w:t>.</w:t>
      </w:r>
    </w:p>
    <w:p w14:paraId="7E607A64" w14:textId="7DBBF4CC" w:rsidR="000E4A41" w:rsidRPr="00781DB9" w:rsidRDefault="000E4A41" w:rsidP="008E336A">
      <w:pPr>
        <w:pStyle w:val="Heading3"/>
        <w:rPr>
          <w:noProof/>
          <w:lang w:val="fr-FR"/>
        </w:rPr>
      </w:pPr>
      <w:bookmarkStart w:id="15" w:name="_Toc234227837"/>
      <w:r w:rsidRPr="00781DB9">
        <w:rPr>
          <w:noProof/>
          <w:lang w:val="fr-FR"/>
        </w:rPr>
        <w:t xml:space="preserve">Ex ante </w:t>
      </w:r>
      <w:r w:rsidRPr="00D701E9">
        <w:rPr>
          <w:noProof/>
          <w:lang w:val="fr-BE"/>
        </w:rPr>
        <w:t>notification</w:t>
      </w:r>
      <w:r w:rsidRPr="00781DB9">
        <w:rPr>
          <w:noProof/>
          <w:lang w:val="fr-FR"/>
        </w:rPr>
        <w:t xml:space="preserve"> of concentrations (Chapter 3 FSR)</w:t>
      </w:r>
      <w:bookmarkEnd w:id="15"/>
    </w:p>
    <w:p w14:paraId="13A1AEFB" w14:textId="77777777" w:rsidR="00830C35" w:rsidRDefault="00E60FCE" w:rsidP="004A1922">
      <w:pPr>
        <w:rPr>
          <w:noProof/>
        </w:rPr>
      </w:pPr>
      <w:r w:rsidRPr="00E60FCE">
        <w:rPr>
          <w:noProof/>
        </w:rPr>
        <w:t xml:space="preserve">Chapter 3 FSR introduces an </w:t>
      </w:r>
      <w:r w:rsidRPr="006D6FEE">
        <w:rPr>
          <w:noProof/>
        </w:rPr>
        <w:t>ex ante</w:t>
      </w:r>
      <w:r w:rsidRPr="00E60FCE">
        <w:rPr>
          <w:noProof/>
        </w:rPr>
        <w:t xml:space="preserve"> notification system for concentrations. </w:t>
      </w:r>
    </w:p>
    <w:p w14:paraId="5FD76837" w14:textId="2BCA2BCC" w:rsidR="00830C35" w:rsidRDefault="007B1232" w:rsidP="004A1922">
      <w:pPr>
        <w:rPr>
          <w:noProof/>
        </w:rPr>
      </w:pPr>
      <w:r>
        <w:rPr>
          <w:noProof/>
        </w:rPr>
        <w:t xml:space="preserve">In accordance with </w:t>
      </w:r>
      <w:r w:rsidR="006A2A67">
        <w:rPr>
          <w:noProof/>
        </w:rPr>
        <w:t>Article</w:t>
      </w:r>
      <w:r w:rsidR="00C21909">
        <w:rPr>
          <w:noProof/>
        </w:rPr>
        <w:t> </w:t>
      </w:r>
      <w:r w:rsidR="006A2A67">
        <w:rPr>
          <w:noProof/>
        </w:rPr>
        <w:t>20</w:t>
      </w:r>
      <w:r>
        <w:rPr>
          <w:noProof/>
        </w:rPr>
        <w:t>(3) FSR, a</w:t>
      </w:r>
      <w:r w:rsidR="00830C35">
        <w:rPr>
          <w:noProof/>
        </w:rPr>
        <w:t xml:space="preserve"> concentration must be notified to the Commission prior to its implementation</w:t>
      </w:r>
      <w:r w:rsidR="00DC4414">
        <w:rPr>
          <w:noProof/>
        </w:rPr>
        <w:t xml:space="preserve">, </w:t>
      </w:r>
      <w:r w:rsidR="00C21909">
        <w:rPr>
          <w:noProof/>
        </w:rPr>
        <w:t>when</w:t>
      </w:r>
      <w:r w:rsidR="00830C35">
        <w:rPr>
          <w:noProof/>
        </w:rPr>
        <w:t>:</w:t>
      </w:r>
    </w:p>
    <w:p w14:paraId="7AD9A7CF" w14:textId="05FF01D0" w:rsidR="004F02D5" w:rsidRDefault="00830C35" w:rsidP="00DD5653">
      <w:pPr>
        <w:pStyle w:val="ListParagraph"/>
        <w:numPr>
          <w:ilvl w:val="0"/>
          <w:numId w:val="118"/>
        </w:numPr>
        <w:rPr>
          <w:noProof/>
        </w:rPr>
      </w:pPr>
      <w:r>
        <w:rPr>
          <w:noProof/>
        </w:rPr>
        <w:t xml:space="preserve">the acquired undertaking, at least one of the merging undertakings, or the joint venture is established in the Union and generates an aggregate EU turnover of at least </w:t>
      </w:r>
      <w:r w:rsidR="00C21909">
        <w:rPr>
          <w:noProof/>
        </w:rPr>
        <w:t>EUR </w:t>
      </w:r>
      <w:r>
        <w:rPr>
          <w:noProof/>
        </w:rPr>
        <w:t>500 million, and</w:t>
      </w:r>
    </w:p>
    <w:p w14:paraId="73284CF5" w14:textId="6B4700E2" w:rsidR="00830C35" w:rsidRDefault="00830C35" w:rsidP="005F1BD2">
      <w:pPr>
        <w:pStyle w:val="ListParagraph"/>
        <w:rPr>
          <w:noProof/>
        </w:rPr>
      </w:pPr>
    </w:p>
    <w:p w14:paraId="7EADA83F" w14:textId="22F52DBB" w:rsidR="000D73FA" w:rsidRDefault="007B1232" w:rsidP="005F1BD2">
      <w:pPr>
        <w:pStyle w:val="ListParagraph"/>
        <w:numPr>
          <w:ilvl w:val="0"/>
          <w:numId w:val="118"/>
        </w:numPr>
        <w:rPr>
          <w:noProof/>
        </w:rPr>
      </w:pPr>
      <w:r>
        <w:rPr>
          <w:noProof/>
        </w:rPr>
        <w:t>the parties to the concentration</w:t>
      </w:r>
      <w:r w:rsidR="00830C35">
        <w:rPr>
          <w:noProof/>
        </w:rPr>
        <w:t xml:space="preserve"> concerned have received combined </w:t>
      </w:r>
      <w:r w:rsidR="005B7760">
        <w:rPr>
          <w:noProof/>
        </w:rPr>
        <w:t>FFCs</w:t>
      </w:r>
      <w:r w:rsidR="00830C35">
        <w:rPr>
          <w:noProof/>
        </w:rPr>
        <w:t xml:space="preserve"> exceeding </w:t>
      </w:r>
      <w:r w:rsidR="00C21909">
        <w:rPr>
          <w:noProof/>
        </w:rPr>
        <w:t>EUR </w:t>
      </w:r>
      <w:r w:rsidR="00830C35">
        <w:rPr>
          <w:noProof/>
        </w:rPr>
        <w:t>50 million in the three years preceding the conclusion of the agreement, the announcement of the public bid or the acquisition of a controlling interest</w:t>
      </w:r>
      <w:r w:rsidR="00830C35" w:rsidDel="000D73FA">
        <w:rPr>
          <w:noProof/>
        </w:rPr>
        <w:t>.</w:t>
      </w:r>
    </w:p>
    <w:p w14:paraId="090C38E8" w14:textId="5E453359" w:rsidR="000C4A4D" w:rsidRDefault="000C4A4D" w:rsidP="004A1922">
      <w:pPr>
        <w:rPr>
          <w:noProof/>
        </w:rPr>
      </w:pPr>
      <w:r>
        <w:rPr>
          <w:noProof/>
        </w:rPr>
        <w:t>The notification form for concentrations (</w:t>
      </w:r>
      <w:r w:rsidR="00E92794">
        <w:rPr>
          <w:noProof/>
        </w:rPr>
        <w:t>‘</w:t>
      </w:r>
      <w:r>
        <w:rPr>
          <w:noProof/>
        </w:rPr>
        <w:t>Form FS-CO</w:t>
      </w:r>
      <w:r w:rsidR="001238DC">
        <w:rPr>
          <w:noProof/>
        </w:rPr>
        <w:t>’</w:t>
      </w:r>
      <w:r>
        <w:rPr>
          <w:noProof/>
        </w:rPr>
        <w:t xml:space="preserve">), adopted as </w:t>
      </w:r>
      <w:r w:rsidR="00C21909">
        <w:rPr>
          <w:noProof/>
        </w:rPr>
        <w:t>Annex </w:t>
      </w:r>
      <w:r>
        <w:rPr>
          <w:noProof/>
        </w:rPr>
        <w:t xml:space="preserve">I to the FSIR, obliges notifying parties to disclose certain information </w:t>
      </w:r>
      <w:r w:rsidR="00DD7073">
        <w:rPr>
          <w:noProof/>
        </w:rPr>
        <w:t xml:space="preserve">required to </w:t>
      </w:r>
      <w:r>
        <w:rPr>
          <w:noProof/>
        </w:rPr>
        <w:t>asses</w:t>
      </w:r>
      <w:r w:rsidR="00DD7073">
        <w:rPr>
          <w:noProof/>
        </w:rPr>
        <w:t>s</w:t>
      </w:r>
      <w:r>
        <w:rPr>
          <w:noProof/>
        </w:rPr>
        <w:t xml:space="preserve"> potential distortive foreign subsidies in the concentration. This information includes details about the </w:t>
      </w:r>
      <w:r w:rsidR="00C21909">
        <w:rPr>
          <w:noProof/>
        </w:rPr>
        <w:t xml:space="preserve">parties to, </w:t>
      </w:r>
      <w:r>
        <w:rPr>
          <w:noProof/>
        </w:rPr>
        <w:t>type</w:t>
      </w:r>
      <w:r w:rsidR="00C21909">
        <w:rPr>
          <w:noProof/>
        </w:rPr>
        <w:t xml:space="preserve"> of</w:t>
      </w:r>
      <w:r>
        <w:rPr>
          <w:noProof/>
        </w:rPr>
        <w:t xml:space="preserve">, and rationale of the transaction, its financing, </w:t>
      </w:r>
      <w:r w:rsidR="00C21909">
        <w:rPr>
          <w:noProof/>
        </w:rPr>
        <w:t xml:space="preserve">and </w:t>
      </w:r>
      <w:r>
        <w:rPr>
          <w:noProof/>
        </w:rPr>
        <w:t>FFCs received</w:t>
      </w:r>
      <w:r w:rsidR="005B7760">
        <w:rPr>
          <w:noProof/>
        </w:rPr>
        <w:t xml:space="preserve"> by the parties, in</w:t>
      </w:r>
      <w:r>
        <w:rPr>
          <w:noProof/>
        </w:rPr>
        <w:t xml:space="preserve"> the </w:t>
      </w:r>
      <w:r w:rsidR="005B7760">
        <w:rPr>
          <w:noProof/>
        </w:rPr>
        <w:t>three years prior to</w:t>
      </w:r>
      <w:r>
        <w:rPr>
          <w:noProof/>
        </w:rPr>
        <w:t xml:space="preserve"> the </w:t>
      </w:r>
      <w:r w:rsidR="005B7760">
        <w:rPr>
          <w:noProof/>
        </w:rPr>
        <w:t>concentration</w:t>
      </w:r>
      <w:r w:rsidR="00477B5A">
        <w:rPr>
          <w:noProof/>
        </w:rPr>
        <w:t xml:space="preserve"> (that is preceding the conclusion of the agreement, the announcement of the public bid or the acquisition of a controlling interest)</w:t>
      </w:r>
      <w:r w:rsidR="005B7760">
        <w:rPr>
          <w:noProof/>
        </w:rPr>
        <w:t xml:space="preserve">. </w:t>
      </w:r>
    </w:p>
    <w:p w14:paraId="65B315BB" w14:textId="27EB5DA3" w:rsidR="000C4A4D" w:rsidRDefault="00C21909" w:rsidP="004A1922">
      <w:pPr>
        <w:rPr>
          <w:noProof/>
        </w:rPr>
      </w:pPr>
      <w:r>
        <w:rPr>
          <w:noProof/>
        </w:rPr>
        <w:t xml:space="preserve">The </w:t>
      </w:r>
      <w:r w:rsidR="000C4A4D">
        <w:rPr>
          <w:noProof/>
        </w:rPr>
        <w:t xml:space="preserve">Form FS-CO adopts a two-limb </w:t>
      </w:r>
      <w:r w:rsidR="007B1232">
        <w:rPr>
          <w:noProof/>
        </w:rPr>
        <w:t>structure for the reporting of FFCs</w:t>
      </w:r>
      <w:r w:rsidR="000C4A4D">
        <w:rPr>
          <w:noProof/>
        </w:rPr>
        <w:t>, depending on the nature of the FFCs received</w:t>
      </w:r>
      <w:r w:rsidR="00477B5A">
        <w:rPr>
          <w:noProof/>
        </w:rPr>
        <w:t>:</w:t>
      </w:r>
    </w:p>
    <w:p w14:paraId="33349992" w14:textId="547994C0" w:rsidR="00DD5653" w:rsidRDefault="004F02D5" w:rsidP="00DD5653">
      <w:pPr>
        <w:pStyle w:val="ListParagraph"/>
        <w:numPr>
          <w:ilvl w:val="0"/>
          <w:numId w:val="118"/>
        </w:numPr>
        <w:ind w:left="714" w:hanging="357"/>
        <w:contextualSpacing w:val="0"/>
        <w:rPr>
          <w:noProof/>
        </w:rPr>
      </w:pPr>
      <w:r>
        <w:rPr>
          <w:noProof/>
        </w:rPr>
        <w:t>FFCs liable to constitute foreign subsidies most likely to distort the internal market (in accordance with the definition in Article</w:t>
      </w:r>
      <w:r w:rsidR="00DD5653">
        <w:rPr>
          <w:noProof/>
        </w:rPr>
        <w:t> </w:t>
      </w:r>
      <w:r>
        <w:rPr>
          <w:noProof/>
        </w:rPr>
        <w:t>5 FSR), which will trigger: (i)</w:t>
      </w:r>
      <w:r w:rsidR="00DD5653">
        <w:rPr>
          <w:noProof/>
        </w:rPr>
        <w:t> </w:t>
      </w:r>
      <w:r>
        <w:rPr>
          <w:noProof/>
        </w:rPr>
        <w:t>detailed reporting concerning any FFCs exceeding EUR</w:t>
      </w:r>
      <w:r w:rsidR="00DD5653">
        <w:rPr>
          <w:noProof/>
        </w:rPr>
        <w:t> </w:t>
      </w:r>
      <w:r>
        <w:rPr>
          <w:noProof/>
        </w:rPr>
        <w:t>1</w:t>
      </w:r>
      <w:r w:rsidR="00DD5653">
        <w:rPr>
          <w:noProof/>
        </w:rPr>
        <w:t> </w:t>
      </w:r>
      <w:r>
        <w:rPr>
          <w:noProof/>
        </w:rPr>
        <w:t>million granted to the notifying party</w:t>
      </w:r>
      <w:r w:rsidR="00DD5653">
        <w:rPr>
          <w:noProof/>
        </w:rPr>
        <w:t xml:space="preserve"> / </w:t>
      </w:r>
      <w:r>
        <w:rPr>
          <w:noProof/>
        </w:rPr>
        <w:t xml:space="preserve">parties or the </w:t>
      </w:r>
      <w:r w:rsidR="007A3981">
        <w:rPr>
          <w:noProof/>
        </w:rPr>
        <w:t>target</w:t>
      </w:r>
      <w:r>
        <w:rPr>
          <w:noProof/>
        </w:rPr>
        <w:t>; and (ii)</w:t>
      </w:r>
      <w:r w:rsidR="00DD5653">
        <w:rPr>
          <w:noProof/>
        </w:rPr>
        <w:t> </w:t>
      </w:r>
      <w:r>
        <w:rPr>
          <w:noProof/>
        </w:rPr>
        <w:t>explanation if the FFC constitutes a foreign subsidy (i.e., if it confers benefit and is limited in fact or law to specific (group of) undertakings.</w:t>
      </w:r>
    </w:p>
    <w:p w14:paraId="15EFF593" w14:textId="0683E91A" w:rsidR="00DD5653" w:rsidRDefault="00DD5653" w:rsidP="00DD5653">
      <w:pPr>
        <w:pStyle w:val="ListParagraph"/>
        <w:numPr>
          <w:ilvl w:val="0"/>
          <w:numId w:val="118"/>
        </w:numPr>
        <w:ind w:left="714" w:hanging="357"/>
        <w:contextualSpacing w:val="0"/>
        <w:rPr>
          <w:noProof/>
        </w:rPr>
      </w:pPr>
      <w:r>
        <w:rPr>
          <w:noProof/>
        </w:rPr>
        <w:t>Other FFCs, which need to be reported if the aggregate amount of FFCs received from a third country exceeds EUR 45 million in the three years prior to the concentration, with certain exceptions. For these FFCs, no line-by-line disclosure is required. Instead, the Form FS-CO requires a description of the categories of FFCs received and an indicative range of the amount of FFCs per third country.</w:t>
      </w:r>
    </w:p>
    <w:p w14:paraId="1EE34D8D" w14:textId="2885C5C8" w:rsidR="000C4A4D" w:rsidRDefault="00BB7191" w:rsidP="005F1BD2">
      <w:pPr>
        <w:rPr>
          <w:noProof/>
        </w:rPr>
      </w:pPr>
      <w:r>
        <w:rPr>
          <w:noProof/>
        </w:rPr>
        <w:t xml:space="preserve">Pursuant to the FSIR, the </w:t>
      </w:r>
      <w:r w:rsidR="006D6FEE">
        <w:rPr>
          <w:noProof/>
        </w:rPr>
        <w:t>below</w:t>
      </w:r>
      <w:r>
        <w:rPr>
          <w:noProof/>
        </w:rPr>
        <w:t xml:space="preserve"> FFCs </w:t>
      </w:r>
      <w:r w:rsidR="006D6FEE">
        <w:rPr>
          <w:noProof/>
        </w:rPr>
        <w:t>do not require</w:t>
      </w:r>
      <w:r w:rsidR="000C4A4D">
        <w:rPr>
          <w:noProof/>
        </w:rPr>
        <w:t xml:space="preserve"> </w:t>
      </w:r>
      <w:r w:rsidR="000952FC">
        <w:rPr>
          <w:noProof/>
        </w:rPr>
        <w:t>reporting</w:t>
      </w:r>
      <w:r>
        <w:rPr>
          <w:noProof/>
        </w:rPr>
        <w:t xml:space="preserve"> in the Form FS-CO</w:t>
      </w:r>
      <w:r w:rsidR="000C4A4D">
        <w:rPr>
          <w:noProof/>
        </w:rPr>
        <w:t>:</w:t>
      </w:r>
    </w:p>
    <w:p w14:paraId="75900651" w14:textId="243788FC" w:rsidR="008D32A4" w:rsidRDefault="0082575E" w:rsidP="005F1BD2">
      <w:pPr>
        <w:pStyle w:val="ListParagraph"/>
        <w:numPr>
          <w:ilvl w:val="0"/>
          <w:numId w:val="118"/>
        </w:numPr>
        <w:ind w:left="714" w:hanging="357"/>
        <w:contextualSpacing w:val="0"/>
        <w:rPr>
          <w:noProof/>
        </w:rPr>
      </w:pPr>
      <w:bookmarkStart w:id="16" w:name="_Hlk228872942"/>
      <w:r>
        <w:rPr>
          <w:noProof/>
        </w:rPr>
        <w:t>d</w:t>
      </w:r>
      <w:r w:rsidR="00B677E6" w:rsidRPr="00B677E6">
        <w:rPr>
          <w:noProof/>
        </w:rPr>
        <w:t>eferrals of payment of taxes or of social security contributions, tax amnesties and tax holidays as well as normal depreciation and loss-carry forward rules that are of general application. If these measures are limited, for example, to certain sectors, regions or (types of) undertakings, they have to be included</w:t>
      </w:r>
      <w:r>
        <w:rPr>
          <w:noProof/>
        </w:rPr>
        <w:t>;</w:t>
      </w:r>
    </w:p>
    <w:p w14:paraId="4F31B06D" w14:textId="631143B3" w:rsidR="008D32A4" w:rsidRDefault="0082575E" w:rsidP="005F1BD2">
      <w:pPr>
        <w:pStyle w:val="ListParagraph"/>
        <w:numPr>
          <w:ilvl w:val="0"/>
          <w:numId w:val="118"/>
        </w:numPr>
        <w:ind w:left="714" w:hanging="357"/>
        <w:contextualSpacing w:val="0"/>
        <w:rPr>
          <w:noProof/>
        </w:rPr>
      </w:pPr>
      <w:r>
        <w:rPr>
          <w:noProof/>
        </w:rPr>
        <w:t>a</w:t>
      </w:r>
      <w:r w:rsidR="00B677E6" w:rsidRPr="00B677E6">
        <w:rPr>
          <w:noProof/>
        </w:rPr>
        <w:t>pplication of tax reliefs for avoidance of double taxation in line with the provisions of bilateral or multilateral agreements for avoidance of double taxation, as well as unilateral tax reliefs for avoidance of double taxation applied under national tax legislation to the extent they follow the same logic and conditions as the provisions of bilateral or multilateral agreements</w:t>
      </w:r>
      <w:r>
        <w:rPr>
          <w:noProof/>
        </w:rPr>
        <w:t>;</w:t>
      </w:r>
      <w:r w:rsidR="00B677E6" w:rsidRPr="00B677E6">
        <w:rPr>
          <w:noProof/>
        </w:rPr>
        <w:t xml:space="preserve"> </w:t>
      </w:r>
    </w:p>
    <w:p w14:paraId="59D4AE5B" w14:textId="79A22FDB" w:rsidR="008D32A4" w:rsidRDefault="0082575E" w:rsidP="00DD5653">
      <w:pPr>
        <w:pStyle w:val="ListParagraph"/>
        <w:numPr>
          <w:ilvl w:val="0"/>
          <w:numId w:val="118"/>
        </w:numPr>
        <w:ind w:left="714" w:hanging="357"/>
        <w:contextualSpacing w:val="0"/>
        <w:rPr>
          <w:noProof/>
        </w:rPr>
      </w:pPr>
      <w:r>
        <w:rPr>
          <w:noProof/>
        </w:rPr>
        <w:t>p</w:t>
      </w:r>
      <w:r w:rsidR="008D32A4" w:rsidRPr="00B677E6">
        <w:rPr>
          <w:noProof/>
        </w:rPr>
        <w:t>rovision</w:t>
      </w:r>
      <w:r w:rsidR="00C21909">
        <w:rPr>
          <w:noProof/>
        </w:rPr>
        <w:t> </w:t>
      </w:r>
      <w:r w:rsidR="008D32A4" w:rsidRPr="00B677E6">
        <w:rPr>
          <w:noProof/>
        </w:rPr>
        <w:t>/</w:t>
      </w:r>
      <w:r w:rsidR="00C21909">
        <w:rPr>
          <w:noProof/>
        </w:rPr>
        <w:t xml:space="preserve"> </w:t>
      </w:r>
      <w:r w:rsidR="008D32A4" w:rsidRPr="00B677E6">
        <w:rPr>
          <w:noProof/>
        </w:rPr>
        <w:t>purchase of goods</w:t>
      </w:r>
      <w:r w:rsidR="00C21909">
        <w:rPr>
          <w:noProof/>
        </w:rPr>
        <w:t xml:space="preserve"> or </w:t>
      </w:r>
      <w:r w:rsidR="008D32A4" w:rsidRPr="00B677E6">
        <w:rPr>
          <w:noProof/>
        </w:rPr>
        <w:t>services (except financial services) at market terms in the ordinary course of business, for example the provision</w:t>
      </w:r>
      <w:r w:rsidR="00C21909">
        <w:rPr>
          <w:noProof/>
        </w:rPr>
        <w:t> </w:t>
      </w:r>
      <w:r w:rsidR="008D32A4" w:rsidRPr="00B677E6">
        <w:rPr>
          <w:noProof/>
        </w:rPr>
        <w:t>/</w:t>
      </w:r>
      <w:r w:rsidR="00C21909">
        <w:rPr>
          <w:noProof/>
        </w:rPr>
        <w:t xml:space="preserve"> </w:t>
      </w:r>
      <w:r w:rsidR="008D32A4" w:rsidRPr="00B677E6">
        <w:rPr>
          <w:noProof/>
        </w:rPr>
        <w:t>purchase of goods or services carried out following a competitive, transparent and non-discriminatory tender procedure</w:t>
      </w:r>
      <w:r>
        <w:rPr>
          <w:noProof/>
        </w:rPr>
        <w:t>;</w:t>
      </w:r>
    </w:p>
    <w:p w14:paraId="158F0E6F" w14:textId="1637FAA8" w:rsidR="008D32A4" w:rsidRDefault="00477B5A" w:rsidP="00DD5653">
      <w:pPr>
        <w:pStyle w:val="ListParagraph"/>
        <w:numPr>
          <w:ilvl w:val="0"/>
          <w:numId w:val="118"/>
        </w:numPr>
        <w:ind w:left="714" w:hanging="357"/>
        <w:contextualSpacing w:val="0"/>
        <w:rPr>
          <w:noProof/>
        </w:rPr>
      </w:pPr>
      <w:r>
        <w:rPr>
          <w:noProof/>
        </w:rPr>
        <w:t xml:space="preserve">individual </w:t>
      </w:r>
      <w:r w:rsidR="008D32A4">
        <w:rPr>
          <w:noProof/>
        </w:rPr>
        <w:t>FFCs below EUR</w:t>
      </w:r>
      <w:r w:rsidR="00C21909">
        <w:rPr>
          <w:noProof/>
        </w:rPr>
        <w:t> </w:t>
      </w:r>
      <w:r w:rsidR="008D32A4">
        <w:rPr>
          <w:noProof/>
        </w:rPr>
        <w:t xml:space="preserve">1 million; and </w:t>
      </w:r>
    </w:p>
    <w:p w14:paraId="37AF5FBA" w14:textId="7C97B354" w:rsidR="008D32A4" w:rsidRDefault="0082575E" w:rsidP="00DD5653">
      <w:pPr>
        <w:pStyle w:val="ListParagraph"/>
        <w:numPr>
          <w:ilvl w:val="0"/>
          <w:numId w:val="118"/>
        </w:numPr>
        <w:ind w:left="714" w:hanging="357"/>
        <w:contextualSpacing w:val="0"/>
        <w:rPr>
          <w:noProof/>
        </w:rPr>
      </w:pPr>
      <w:r>
        <w:rPr>
          <w:noProof/>
        </w:rPr>
        <w:t>s</w:t>
      </w:r>
      <w:r w:rsidR="008D32A4">
        <w:rPr>
          <w:noProof/>
        </w:rPr>
        <w:t>pecific exceptions related to transactions involving private equity or investment fund acquirers, subject to defined conditions.</w:t>
      </w:r>
    </w:p>
    <w:bookmarkEnd w:id="16"/>
    <w:p w14:paraId="592DA448" w14:textId="434C2221" w:rsidR="000C4A4D" w:rsidRDefault="006F75DD" w:rsidP="005F1BD2">
      <w:pPr>
        <w:rPr>
          <w:noProof/>
        </w:rPr>
      </w:pPr>
      <w:r>
        <w:rPr>
          <w:noProof/>
        </w:rPr>
        <w:t xml:space="preserve">The FSIR also allows </w:t>
      </w:r>
      <w:r w:rsidR="000C4A4D">
        <w:rPr>
          <w:noProof/>
        </w:rPr>
        <w:t xml:space="preserve">for the possibility of requesting a waiver </w:t>
      </w:r>
      <w:r>
        <w:rPr>
          <w:noProof/>
        </w:rPr>
        <w:t xml:space="preserve">to disclose certain information in the Form FS-CO </w:t>
      </w:r>
      <w:r w:rsidR="000C4A4D">
        <w:rPr>
          <w:noProof/>
        </w:rPr>
        <w:t>where:</w:t>
      </w:r>
    </w:p>
    <w:p w14:paraId="4704543E" w14:textId="5AC61245" w:rsidR="000C4A4D" w:rsidRDefault="00DB076D" w:rsidP="005F1BD2">
      <w:pPr>
        <w:pStyle w:val="ListParagraph"/>
        <w:numPr>
          <w:ilvl w:val="0"/>
          <w:numId w:val="224"/>
        </w:numPr>
        <w:ind w:left="714" w:hanging="357"/>
        <w:contextualSpacing w:val="0"/>
        <w:rPr>
          <w:noProof/>
        </w:rPr>
      </w:pPr>
      <w:r>
        <w:rPr>
          <w:noProof/>
        </w:rPr>
        <w:t>t</w:t>
      </w:r>
      <w:r w:rsidR="000C4A4D">
        <w:rPr>
          <w:noProof/>
        </w:rPr>
        <w:t>he information is not reasonably available; or</w:t>
      </w:r>
    </w:p>
    <w:p w14:paraId="12886402" w14:textId="7BB7C970" w:rsidR="00900C8B" w:rsidRDefault="00DB076D" w:rsidP="005F1BD2">
      <w:pPr>
        <w:pStyle w:val="ListParagraph"/>
        <w:numPr>
          <w:ilvl w:val="0"/>
          <w:numId w:val="224"/>
        </w:numPr>
        <w:ind w:left="714" w:hanging="357"/>
        <w:contextualSpacing w:val="0"/>
        <w:rPr>
          <w:noProof/>
        </w:rPr>
      </w:pPr>
      <w:r>
        <w:rPr>
          <w:noProof/>
        </w:rPr>
        <w:t>t</w:t>
      </w:r>
      <w:r w:rsidR="000C4A4D">
        <w:rPr>
          <w:noProof/>
        </w:rPr>
        <w:t>he information is not necessary for the Commission’s assessment under the FSR.</w:t>
      </w:r>
    </w:p>
    <w:p w14:paraId="74EA3F76" w14:textId="30912585" w:rsidR="00EC38A1" w:rsidRDefault="00EC38A1" w:rsidP="00192B9D">
      <w:pPr>
        <w:rPr>
          <w:noProof/>
        </w:rPr>
      </w:pPr>
      <w:r>
        <w:rPr>
          <w:noProof/>
        </w:rPr>
        <w:t xml:space="preserve">Upon receipt of a complete notification, in accordance with </w:t>
      </w:r>
      <w:r w:rsidR="00C21909">
        <w:rPr>
          <w:noProof/>
        </w:rPr>
        <w:t>Article </w:t>
      </w:r>
      <w:r>
        <w:rPr>
          <w:noProof/>
        </w:rPr>
        <w:t xml:space="preserve">24(1)(a) FSR, the Commission carries out a preliminary review within </w:t>
      </w:r>
      <w:r w:rsidR="00C21909">
        <w:rPr>
          <w:noProof/>
        </w:rPr>
        <w:t>25 </w:t>
      </w:r>
      <w:r>
        <w:rPr>
          <w:noProof/>
        </w:rPr>
        <w:t xml:space="preserve">working days. Where the Commission has found sufficient indications </w:t>
      </w:r>
      <w:r w:rsidR="00DB076D">
        <w:rPr>
          <w:noProof/>
        </w:rPr>
        <w:t xml:space="preserve">of </w:t>
      </w:r>
      <w:r>
        <w:rPr>
          <w:noProof/>
        </w:rPr>
        <w:t xml:space="preserve">the presence of distortive foreign subsidies in </w:t>
      </w:r>
      <w:r w:rsidDel="00ED57C3">
        <w:rPr>
          <w:noProof/>
        </w:rPr>
        <w:t>the</w:t>
      </w:r>
      <w:r>
        <w:rPr>
          <w:noProof/>
        </w:rPr>
        <w:t xml:space="preserve"> concentration, it may open an in-depth investigation, which, in accordance with </w:t>
      </w:r>
      <w:r w:rsidR="00C21909">
        <w:rPr>
          <w:noProof/>
        </w:rPr>
        <w:t>Article </w:t>
      </w:r>
      <w:r>
        <w:rPr>
          <w:noProof/>
        </w:rPr>
        <w:t xml:space="preserve">24(1)(b) FSR, must be concluded within </w:t>
      </w:r>
      <w:r w:rsidR="00C21909">
        <w:rPr>
          <w:noProof/>
        </w:rPr>
        <w:t>90 </w:t>
      </w:r>
      <w:r>
        <w:rPr>
          <w:noProof/>
        </w:rPr>
        <w:t xml:space="preserve">working days, subject to extensions or suspensions as provided for in the </w:t>
      </w:r>
      <w:r w:rsidR="006F75DD">
        <w:rPr>
          <w:noProof/>
        </w:rPr>
        <w:t>FSR</w:t>
      </w:r>
      <w:r>
        <w:rPr>
          <w:noProof/>
        </w:rPr>
        <w:t>.</w:t>
      </w:r>
    </w:p>
    <w:p w14:paraId="06DEA252" w14:textId="622454B6" w:rsidR="00830C35" w:rsidRPr="00781DB9" w:rsidRDefault="00830C35" w:rsidP="00093BF9">
      <w:pPr>
        <w:pStyle w:val="Heading3"/>
        <w:rPr>
          <w:noProof/>
          <w:lang w:val="fr-FR"/>
        </w:rPr>
      </w:pPr>
      <w:bookmarkStart w:id="17" w:name="_Toc234227838"/>
      <w:r w:rsidRPr="00781DB9">
        <w:rPr>
          <w:noProof/>
          <w:lang w:val="fr-FR"/>
        </w:rPr>
        <w:t>Ex ante notification in public procurement procedures (Chapter 4 FSR)</w:t>
      </w:r>
      <w:bookmarkEnd w:id="17"/>
    </w:p>
    <w:p w14:paraId="45D37B38" w14:textId="4B59351C" w:rsidR="00830C35" w:rsidRDefault="00E60FCE" w:rsidP="004A1922">
      <w:pPr>
        <w:rPr>
          <w:noProof/>
        </w:rPr>
      </w:pPr>
      <w:r w:rsidRPr="00E60FCE">
        <w:rPr>
          <w:noProof/>
        </w:rPr>
        <w:t xml:space="preserve">Chapter 4 FSR establishes an </w:t>
      </w:r>
      <w:r w:rsidR="00731A2E" w:rsidRPr="005F1BD2">
        <w:rPr>
          <w:i/>
          <w:noProof/>
        </w:rPr>
        <w:t>ex-ante</w:t>
      </w:r>
      <w:r w:rsidRPr="00E60FCE">
        <w:rPr>
          <w:noProof/>
        </w:rPr>
        <w:t xml:space="preserve"> notification system for public procurement procedures. </w:t>
      </w:r>
      <w:r w:rsidR="00830C35">
        <w:rPr>
          <w:noProof/>
        </w:rPr>
        <w:t xml:space="preserve">Economic operators are required to notify </w:t>
      </w:r>
      <w:r w:rsidR="00EA35E2">
        <w:rPr>
          <w:noProof/>
        </w:rPr>
        <w:t>FFCs</w:t>
      </w:r>
      <w:r w:rsidR="00830C35">
        <w:rPr>
          <w:noProof/>
        </w:rPr>
        <w:t xml:space="preserve"> where:</w:t>
      </w:r>
    </w:p>
    <w:p w14:paraId="00C9ABCC" w14:textId="08129F30" w:rsidR="00830C35" w:rsidRDefault="00921E53" w:rsidP="001E6135">
      <w:pPr>
        <w:pStyle w:val="ListParagraph"/>
        <w:numPr>
          <w:ilvl w:val="0"/>
          <w:numId w:val="118"/>
        </w:numPr>
        <w:ind w:left="714" w:hanging="357"/>
        <w:contextualSpacing w:val="0"/>
        <w:rPr>
          <w:noProof/>
        </w:rPr>
      </w:pPr>
      <w:r>
        <w:rPr>
          <w:noProof/>
        </w:rPr>
        <w:t xml:space="preserve">the estimated value of the public procurement contract or framework agreement is at least </w:t>
      </w:r>
      <w:r w:rsidR="00C21909">
        <w:rPr>
          <w:noProof/>
        </w:rPr>
        <w:t>EUR </w:t>
      </w:r>
      <w:r>
        <w:rPr>
          <w:noProof/>
        </w:rPr>
        <w:t>250 million</w:t>
      </w:r>
      <w:r w:rsidR="00F43C5F">
        <w:rPr>
          <w:noProof/>
        </w:rPr>
        <w:t xml:space="preserve"> (or </w:t>
      </w:r>
      <w:r w:rsidR="006A6C4F">
        <w:rPr>
          <w:noProof/>
        </w:rPr>
        <w:t>t</w:t>
      </w:r>
      <w:r w:rsidR="006A6C4F" w:rsidRPr="006A6C4F">
        <w:rPr>
          <w:noProof/>
        </w:rPr>
        <w:t xml:space="preserve">he value of the individual lot, or the combined value of all lots bid on, is at least </w:t>
      </w:r>
      <w:r w:rsidR="00F43C5F">
        <w:rPr>
          <w:noProof/>
        </w:rPr>
        <w:t>EUR</w:t>
      </w:r>
      <w:r w:rsidR="00C21909">
        <w:rPr>
          <w:noProof/>
        </w:rPr>
        <w:t> </w:t>
      </w:r>
      <w:r w:rsidR="00F43C5F">
        <w:rPr>
          <w:noProof/>
        </w:rPr>
        <w:t>125 million)</w:t>
      </w:r>
      <w:r w:rsidR="00830C35">
        <w:rPr>
          <w:noProof/>
        </w:rPr>
        <w:t>, and</w:t>
      </w:r>
    </w:p>
    <w:p w14:paraId="7F0B4501" w14:textId="608D2216" w:rsidR="00830C35" w:rsidRDefault="00830C35" w:rsidP="001E6135">
      <w:pPr>
        <w:pStyle w:val="ListParagraph"/>
        <w:numPr>
          <w:ilvl w:val="0"/>
          <w:numId w:val="118"/>
        </w:numPr>
        <w:ind w:left="714" w:hanging="357"/>
        <w:contextualSpacing w:val="0"/>
        <w:rPr>
          <w:noProof/>
        </w:rPr>
      </w:pPr>
      <w:r>
        <w:rPr>
          <w:noProof/>
        </w:rPr>
        <w:t xml:space="preserve">the economic operator concerned, including its main subcontractors and suppliers where applicable, has received aggregate </w:t>
      </w:r>
      <w:r w:rsidR="00EA35E2">
        <w:rPr>
          <w:noProof/>
        </w:rPr>
        <w:t>FFCs</w:t>
      </w:r>
      <w:r>
        <w:rPr>
          <w:noProof/>
        </w:rPr>
        <w:t xml:space="preserve"> of at least </w:t>
      </w:r>
      <w:r w:rsidR="00C21909">
        <w:rPr>
          <w:noProof/>
        </w:rPr>
        <w:t>EUR 4 </w:t>
      </w:r>
      <w:r>
        <w:rPr>
          <w:noProof/>
        </w:rPr>
        <w:t>million per third country in the three years preceding the notification.</w:t>
      </w:r>
    </w:p>
    <w:p w14:paraId="3B8278C2" w14:textId="3796BBD7" w:rsidR="0052351D" w:rsidRDefault="0052351D" w:rsidP="00D46342">
      <w:pPr>
        <w:pStyle w:val="Bullet1"/>
        <w:rPr>
          <w:noProof/>
        </w:rPr>
      </w:pPr>
      <w:r>
        <w:rPr>
          <w:noProof/>
        </w:rPr>
        <w:t xml:space="preserve">Where these two thresholds are met, economic operators are required to submit a </w:t>
      </w:r>
      <w:r w:rsidR="00830C35">
        <w:rPr>
          <w:noProof/>
        </w:rPr>
        <w:t>notification</w:t>
      </w:r>
      <w:r>
        <w:rPr>
          <w:noProof/>
        </w:rPr>
        <w:t>. Where only the first threshold is met</w:t>
      </w:r>
      <w:r w:rsidR="00E15018">
        <w:rPr>
          <w:noProof/>
        </w:rPr>
        <w:t xml:space="preserve"> (i.e.</w:t>
      </w:r>
      <w:r w:rsidR="00C21909">
        <w:rPr>
          <w:noProof/>
        </w:rPr>
        <w:t>,</w:t>
      </w:r>
      <w:r w:rsidR="00E15018">
        <w:rPr>
          <w:noProof/>
        </w:rPr>
        <w:t xml:space="preserve"> no notifiable FFCs have been granted to the notifying part</w:t>
      </w:r>
      <w:r w:rsidR="00D92C28">
        <w:rPr>
          <w:noProof/>
        </w:rPr>
        <w:t>y/partie</w:t>
      </w:r>
      <w:r w:rsidR="00E15018">
        <w:rPr>
          <w:noProof/>
        </w:rPr>
        <w:t>s</w:t>
      </w:r>
      <w:r w:rsidR="00D92C28" w:rsidRPr="00D92C28">
        <w:rPr>
          <w:noProof/>
        </w:rPr>
        <w:t> (</w:t>
      </w:r>
      <w:r w:rsidR="00D92C28">
        <w:rPr>
          <w:rStyle w:val="FootnoteReference"/>
          <w:noProof/>
        </w:rPr>
        <w:footnoteReference w:id="21"/>
      </w:r>
      <w:r w:rsidR="00D92C28">
        <w:rPr>
          <w:noProof/>
        </w:rPr>
        <w:t>)</w:t>
      </w:r>
      <w:r w:rsidR="00E15018">
        <w:rPr>
          <w:noProof/>
        </w:rPr>
        <w:t xml:space="preserve"> in the last three years preceding the notification)</w:t>
      </w:r>
      <w:r>
        <w:rPr>
          <w:noProof/>
        </w:rPr>
        <w:t xml:space="preserve">, economic operators are required to submit a declaration. </w:t>
      </w:r>
      <w:r w:rsidR="00C31103">
        <w:rPr>
          <w:noProof/>
        </w:rPr>
        <w:t xml:space="preserve">In both cases, economic operators </w:t>
      </w:r>
      <w:r w:rsidR="008B1B91">
        <w:rPr>
          <w:noProof/>
        </w:rPr>
        <w:t xml:space="preserve">have to </w:t>
      </w:r>
      <w:r>
        <w:rPr>
          <w:noProof/>
        </w:rPr>
        <w:t>us</w:t>
      </w:r>
      <w:r w:rsidR="00C31103">
        <w:rPr>
          <w:noProof/>
        </w:rPr>
        <w:t>e</w:t>
      </w:r>
      <w:r>
        <w:rPr>
          <w:noProof/>
        </w:rPr>
        <w:t xml:space="preserve"> Form FS-PP, adopted as Annex II to the FSIR. </w:t>
      </w:r>
    </w:p>
    <w:p w14:paraId="619C7960" w14:textId="2CB0FD80" w:rsidR="00137395" w:rsidRDefault="00C31103" w:rsidP="00137395">
      <w:pPr>
        <w:pStyle w:val="Bullet1"/>
        <w:rPr>
          <w:noProof/>
        </w:rPr>
      </w:pPr>
      <w:r>
        <w:rPr>
          <w:noProof/>
        </w:rPr>
        <w:t xml:space="preserve">For declarations, Form FS-PP obliges the notifying parties to disclose certain information </w:t>
      </w:r>
      <w:r w:rsidR="00E15018">
        <w:rPr>
          <w:noProof/>
        </w:rPr>
        <w:t xml:space="preserve">that may be relevant for the </w:t>
      </w:r>
      <w:r w:rsidR="009D603E">
        <w:rPr>
          <w:noProof/>
        </w:rPr>
        <w:t>assessment of each public procurement</w:t>
      </w:r>
      <w:r w:rsidR="0044540A">
        <w:rPr>
          <w:noProof/>
        </w:rPr>
        <w:t xml:space="preserve"> bid in the context of the FSR</w:t>
      </w:r>
      <w:r w:rsidR="00E15018">
        <w:rPr>
          <w:noProof/>
        </w:rPr>
        <w:t xml:space="preserve">. This information includes details </w:t>
      </w:r>
      <w:r>
        <w:rPr>
          <w:noProof/>
        </w:rPr>
        <w:t>about the public procurement and the notifying parties</w:t>
      </w:r>
      <w:r w:rsidR="00AC6E91">
        <w:rPr>
          <w:noProof/>
        </w:rPr>
        <w:t xml:space="preserve">. Moreover, </w:t>
      </w:r>
      <w:r w:rsidR="006C1698">
        <w:rPr>
          <w:noProof/>
        </w:rPr>
        <w:t xml:space="preserve">the Form </w:t>
      </w:r>
      <w:r w:rsidR="00B10957">
        <w:rPr>
          <w:noProof/>
        </w:rPr>
        <w:t>FS-PP</w:t>
      </w:r>
      <w:r w:rsidR="006C1698">
        <w:rPr>
          <w:noProof/>
        </w:rPr>
        <w:t xml:space="preserve"> for declarations requires:</w:t>
      </w:r>
    </w:p>
    <w:p w14:paraId="647E4B9B" w14:textId="2FC9037C" w:rsidR="00D57E4B" w:rsidRDefault="00601AB3" w:rsidP="005F1BD2">
      <w:pPr>
        <w:pStyle w:val="Bullet1"/>
        <w:numPr>
          <w:ilvl w:val="0"/>
          <w:numId w:val="254"/>
        </w:numPr>
        <w:rPr>
          <w:noProof/>
        </w:rPr>
      </w:pPr>
      <w:r>
        <w:rPr>
          <w:noProof/>
        </w:rPr>
        <w:t>I</w:t>
      </w:r>
      <w:r w:rsidR="00D57E4B">
        <w:rPr>
          <w:noProof/>
        </w:rPr>
        <w:t>ndividual reporting of all non-notifiable FFCs in the last three years preceding the declaration, above EUR 1 million;</w:t>
      </w:r>
    </w:p>
    <w:p w14:paraId="3E3982C5" w14:textId="061EE701" w:rsidR="00346DB6" w:rsidRDefault="00314FD8" w:rsidP="005F1BD2">
      <w:pPr>
        <w:pStyle w:val="Bullet1"/>
        <w:numPr>
          <w:ilvl w:val="0"/>
          <w:numId w:val="254"/>
        </w:numPr>
        <w:rPr>
          <w:noProof/>
        </w:rPr>
      </w:pPr>
      <w:r>
        <w:rPr>
          <w:noProof/>
        </w:rPr>
        <w:t>A</w:t>
      </w:r>
      <w:r w:rsidR="00346DB6">
        <w:rPr>
          <w:noProof/>
        </w:rPr>
        <w:t>ggregate reporting in Table 2 of FFCs the value of which is between EUR</w:t>
      </w:r>
      <w:r w:rsidR="00C21909">
        <w:rPr>
          <w:noProof/>
        </w:rPr>
        <w:t> </w:t>
      </w:r>
      <w:r w:rsidR="00346DB6">
        <w:rPr>
          <w:noProof/>
        </w:rPr>
        <w:t>1</w:t>
      </w:r>
      <w:r w:rsidR="00C21909">
        <w:rPr>
          <w:noProof/>
        </w:rPr>
        <w:t> </w:t>
      </w:r>
      <w:r w:rsidR="00346DB6">
        <w:rPr>
          <w:noProof/>
        </w:rPr>
        <w:t xml:space="preserve">million and the </w:t>
      </w:r>
      <w:r w:rsidR="00346DB6" w:rsidRPr="00137395">
        <w:rPr>
          <w:i/>
          <w:iCs/>
          <w:noProof/>
        </w:rPr>
        <w:t>de minimis</w:t>
      </w:r>
      <w:r w:rsidR="00346DB6">
        <w:rPr>
          <w:noProof/>
        </w:rPr>
        <w:t xml:space="preserve"> threshold</w:t>
      </w:r>
      <w:r w:rsidR="00346DB6" w:rsidRPr="00E15018">
        <w:rPr>
          <w:noProof/>
        </w:rPr>
        <w:t> (</w:t>
      </w:r>
      <w:r w:rsidR="00346DB6">
        <w:rPr>
          <w:rStyle w:val="FootnoteReference"/>
          <w:noProof/>
        </w:rPr>
        <w:footnoteReference w:id="22"/>
      </w:r>
      <w:r w:rsidR="00346DB6">
        <w:rPr>
          <w:noProof/>
        </w:rPr>
        <w:t>);</w:t>
      </w:r>
    </w:p>
    <w:p w14:paraId="6C5F831E" w14:textId="6A90BF4B" w:rsidR="00346DB6" w:rsidRDefault="00314FD8" w:rsidP="005F1BD2">
      <w:pPr>
        <w:pStyle w:val="Bullet1"/>
        <w:numPr>
          <w:ilvl w:val="0"/>
          <w:numId w:val="254"/>
        </w:numPr>
        <w:rPr>
          <w:noProof/>
        </w:rPr>
      </w:pPr>
      <w:r>
        <w:rPr>
          <w:noProof/>
        </w:rPr>
        <w:t>N</w:t>
      </w:r>
      <w:r w:rsidR="00346DB6">
        <w:rPr>
          <w:noProof/>
        </w:rPr>
        <w:t xml:space="preserve">o reporting of FFCs the value of which is below the </w:t>
      </w:r>
      <w:r w:rsidR="00346DB6" w:rsidRPr="00441DE3">
        <w:rPr>
          <w:i/>
          <w:iCs/>
          <w:noProof/>
        </w:rPr>
        <w:t>de minimis</w:t>
      </w:r>
      <w:r w:rsidR="00346DB6">
        <w:rPr>
          <w:noProof/>
        </w:rPr>
        <w:t xml:space="preserve"> threshold</w:t>
      </w:r>
      <w:r w:rsidR="007B2426">
        <w:rPr>
          <w:noProof/>
        </w:rPr>
        <w:t>.</w:t>
      </w:r>
    </w:p>
    <w:p w14:paraId="408FCCD9" w14:textId="61EEDCCB" w:rsidR="00D46342" w:rsidRDefault="00C31103" w:rsidP="00D46342">
      <w:pPr>
        <w:pStyle w:val="Bullet1"/>
        <w:rPr>
          <w:noProof/>
        </w:rPr>
      </w:pPr>
      <w:r>
        <w:rPr>
          <w:noProof/>
        </w:rPr>
        <w:t>For notifications, Form FS-PP</w:t>
      </w:r>
      <w:r w:rsidR="00D46342" w:rsidRPr="00D46342">
        <w:rPr>
          <w:noProof/>
        </w:rPr>
        <w:t xml:space="preserve"> obliges notifying parties to disclose certain information, necessary for the assessment of potential distortive foreign subsidies in </w:t>
      </w:r>
      <w:r w:rsidR="00D46342">
        <w:rPr>
          <w:noProof/>
        </w:rPr>
        <w:t>the public procurement procedure</w:t>
      </w:r>
      <w:r w:rsidR="00D46342" w:rsidRPr="00D46342">
        <w:rPr>
          <w:noProof/>
        </w:rPr>
        <w:t xml:space="preserve">. This information includes details about the </w:t>
      </w:r>
      <w:r w:rsidR="00D46342">
        <w:rPr>
          <w:noProof/>
        </w:rPr>
        <w:t>public procurement, the notifying parties, the type of FFCs received</w:t>
      </w:r>
      <w:r w:rsidR="00D46342" w:rsidRPr="00D46342">
        <w:rPr>
          <w:noProof/>
        </w:rPr>
        <w:t xml:space="preserve">, </w:t>
      </w:r>
      <w:r w:rsidR="009D603E">
        <w:rPr>
          <w:noProof/>
        </w:rPr>
        <w:t>any</w:t>
      </w:r>
      <w:r w:rsidR="009D603E" w:rsidRPr="00D46342">
        <w:rPr>
          <w:noProof/>
        </w:rPr>
        <w:t xml:space="preserve"> </w:t>
      </w:r>
      <w:r w:rsidR="00D46342">
        <w:rPr>
          <w:noProof/>
        </w:rPr>
        <w:t>justification</w:t>
      </w:r>
      <w:r w:rsidR="009D603E">
        <w:rPr>
          <w:noProof/>
        </w:rPr>
        <w:t>s</w:t>
      </w:r>
      <w:r w:rsidR="00D46342">
        <w:rPr>
          <w:noProof/>
        </w:rPr>
        <w:t xml:space="preserve"> </w:t>
      </w:r>
      <w:r w:rsidR="009D603E">
        <w:rPr>
          <w:noProof/>
        </w:rPr>
        <w:t>regarding the fact that the FFCs did not allow the notifying parties to submit an</w:t>
      </w:r>
      <w:r w:rsidR="009D603E" w:rsidDel="009D603E">
        <w:rPr>
          <w:noProof/>
        </w:rPr>
        <w:t xml:space="preserve"> </w:t>
      </w:r>
      <w:r w:rsidR="00D46342">
        <w:rPr>
          <w:noProof/>
        </w:rPr>
        <w:t>unduly advantageous tender</w:t>
      </w:r>
      <w:r w:rsidR="00D46342" w:rsidRPr="00D46342">
        <w:rPr>
          <w:noProof/>
        </w:rPr>
        <w:t>, as well as information about potential positive effects.</w:t>
      </w:r>
    </w:p>
    <w:p w14:paraId="1AAB0F17" w14:textId="7FA1D63B" w:rsidR="00E87DF4" w:rsidRDefault="00805300" w:rsidP="00E87DF4">
      <w:pPr>
        <w:pStyle w:val="Bullet1"/>
        <w:rPr>
          <w:noProof/>
        </w:rPr>
      </w:pPr>
      <w:r>
        <w:rPr>
          <w:noProof/>
        </w:rPr>
        <w:t xml:space="preserve">Form FS-PP for notifications </w:t>
      </w:r>
      <w:r w:rsidR="00C31103">
        <w:rPr>
          <w:noProof/>
        </w:rPr>
        <w:t>distinguishes the reporting requirements depending on the nature of the FFCs received:</w:t>
      </w:r>
    </w:p>
    <w:p w14:paraId="3DE27B6A" w14:textId="43A1FE8D" w:rsidR="00137395" w:rsidRDefault="00346DB6" w:rsidP="00617672">
      <w:pPr>
        <w:pStyle w:val="Bullet2"/>
        <w:numPr>
          <w:ilvl w:val="0"/>
          <w:numId w:val="253"/>
        </w:numPr>
        <w:rPr>
          <w:noProof/>
        </w:rPr>
      </w:pPr>
      <w:r>
        <w:rPr>
          <w:noProof/>
        </w:rPr>
        <w:t>FFCs liable to constitute foreign subsidies most likely to distort the internal market (in accordance with the definition in Article</w:t>
      </w:r>
      <w:r w:rsidR="00E1379B">
        <w:rPr>
          <w:noProof/>
        </w:rPr>
        <w:t> </w:t>
      </w:r>
      <w:r>
        <w:rPr>
          <w:noProof/>
        </w:rPr>
        <w:t>5 FSR)</w:t>
      </w:r>
      <w:r w:rsidR="00137395">
        <w:rPr>
          <w:noProof/>
        </w:rPr>
        <w:t>, which will trigger (i)</w:t>
      </w:r>
      <w:r w:rsidR="00E1379B">
        <w:rPr>
          <w:noProof/>
        </w:rPr>
        <w:t> </w:t>
      </w:r>
      <w:r w:rsidR="00137395">
        <w:rPr>
          <w:noProof/>
        </w:rPr>
        <w:t>detailed reporting, including supporting documents, is required in respect of any FFC exceeding EUR</w:t>
      </w:r>
      <w:r w:rsidR="00E1379B">
        <w:rPr>
          <w:noProof/>
        </w:rPr>
        <w:t> </w:t>
      </w:r>
      <w:r w:rsidR="00137395">
        <w:rPr>
          <w:noProof/>
        </w:rPr>
        <w:t>1</w:t>
      </w:r>
      <w:r w:rsidR="00E1379B">
        <w:rPr>
          <w:noProof/>
        </w:rPr>
        <w:t> </w:t>
      </w:r>
      <w:r w:rsidR="00137395">
        <w:rPr>
          <w:noProof/>
        </w:rPr>
        <w:t>million granted to each of the notifying parties individually; and (ii)</w:t>
      </w:r>
      <w:r w:rsidR="00E1379B">
        <w:rPr>
          <w:noProof/>
        </w:rPr>
        <w:t> </w:t>
      </w:r>
      <w:r w:rsidR="00137395">
        <w:rPr>
          <w:noProof/>
        </w:rPr>
        <w:t>explanation if the FFC constitutes a foreign subsidy (i.e., if it confers benefit and is limited in fact or law to specific (group of) undertakings.</w:t>
      </w:r>
    </w:p>
    <w:p w14:paraId="34F65003" w14:textId="3CC783E4" w:rsidR="00137395" w:rsidRPr="00137395" w:rsidRDefault="00137395" w:rsidP="00617672">
      <w:pPr>
        <w:pStyle w:val="ListParagraph"/>
        <w:numPr>
          <w:ilvl w:val="0"/>
          <w:numId w:val="253"/>
        </w:numPr>
        <w:rPr>
          <w:noProof/>
        </w:rPr>
      </w:pPr>
      <w:r>
        <w:rPr>
          <w:noProof/>
        </w:rPr>
        <w:t>Other FFCs, for which disclosure in Table</w:t>
      </w:r>
      <w:r w:rsidR="00E1379B">
        <w:rPr>
          <w:noProof/>
        </w:rPr>
        <w:t> </w:t>
      </w:r>
      <w:r>
        <w:rPr>
          <w:noProof/>
        </w:rPr>
        <w:t>1 is required in respect of any FFC exceeding EUR</w:t>
      </w:r>
      <w:r w:rsidR="00E1379B">
        <w:rPr>
          <w:noProof/>
        </w:rPr>
        <w:t> </w:t>
      </w:r>
      <w:r>
        <w:rPr>
          <w:noProof/>
        </w:rPr>
        <w:t>1</w:t>
      </w:r>
      <w:r w:rsidR="00E1379B">
        <w:rPr>
          <w:noProof/>
        </w:rPr>
        <w:t> </w:t>
      </w:r>
      <w:r>
        <w:rPr>
          <w:noProof/>
        </w:rPr>
        <w:t xml:space="preserve">million granted to the notifying parties. For these FFCs no line-by-line disclosure is required. </w:t>
      </w:r>
      <w:r w:rsidRPr="00137395">
        <w:rPr>
          <w:noProof/>
        </w:rPr>
        <w:t>The Form FS-PP requests a description of the categories of FFCs received and an indicative range of the amount of FFCs per third country.</w:t>
      </w:r>
    </w:p>
    <w:p w14:paraId="563F86CA" w14:textId="585D6352" w:rsidR="00805300" w:rsidRDefault="00151861" w:rsidP="00617672">
      <w:pPr>
        <w:pStyle w:val="Bullet2"/>
        <w:numPr>
          <w:ilvl w:val="0"/>
          <w:numId w:val="253"/>
        </w:numPr>
        <w:rPr>
          <w:noProof/>
        </w:rPr>
      </w:pPr>
      <w:r>
        <w:rPr>
          <w:noProof/>
        </w:rPr>
        <w:t>Pursuant to the FSIR, the following FFCs are subject to exception from reporting in the Form FS-PP</w:t>
      </w:r>
      <w:r w:rsidR="00805300">
        <w:rPr>
          <w:noProof/>
        </w:rPr>
        <w:t>:</w:t>
      </w:r>
    </w:p>
    <w:p w14:paraId="2F3A5A08" w14:textId="77777777" w:rsidR="00137395" w:rsidRDefault="00137395" w:rsidP="00617672">
      <w:pPr>
        <w:pStyle w:val="ListParagraph"/>
        <w:numPr>
          <w:ilvl w:val="1"/>
          <w:numId w:val="251"/>
        </w:numPr>
        <w:rPr>
          <w:noProof/>
        </w:rPr>
      </w:pPr>
      <w:r>
        <w:rPr>
          <w:noProof/>
        </w:rPr>
        <w:t>d</w:t>
      </w:r>
      <w:r w:rsidRPr="00B677E6">
        <w:rPr>
          <w:noProof/>
        </w:rPr>
        <w:t>eferrals of payment of taxes or of social security contributions, tax amnesties and tax holidays as well as normal depreciation and loss-carry forward rules that are of general application. If these measures are limited, for example, to certain sectors, regions or (types of) undertakings, they have to be included</w:t>
      </w:r>
      <w:r>
        <w:rPr>
          <w:noProof/>
        </w:rPr>
        <w:t>;</w:t>
      </w:r>
    </w:p>
    <w:p w14:paraId="6C9CA0FF" w14:textId="77777777" w:rsidR="00137395" w:rsidRDefault="00137395" w:rsidP="00441DE3">
      <w:pPr>
        <w:pStyle w:val="ListParagraph"/>
        <w:ind w:left="900"/>
        <w:rPr>
          <w:noProof/>
        </w:rPr>
      </w:pPr>
    </w:p>
    <w:p w14:paraId="4FD94A66" w14:textId="77777777" w:rsidR="00137395" w:rsidRDefault="00137395" w:rsidP="00617672">
      <w:pPr>
        <w:pStyle w:val="ListParagraph"/>
        <w:numPr>
          <w:ilvl w:val="1"/>
          <w:numId w:val="251"/>
        </w:numPr>
        <w:rPr>
          <w:noProof/>
        </w:rPr>
      </w:pPr>
      <w:r>
        <w:rPr>
          <w:noProof/>
        </w:rPr>
        <w:t>a</w:t>
      </w:r>
      <w:r w:rsidRPr="00B677E6">
        <w:rPr>
          <w:noProof/>
        </w:rPr>
        <w:t>pplication of tax reliefs for avoidance of double taxation in line with the provisions of bilateral or multilateral agreements for avoidance of double taxation, as well as unilateral tax reliefs for avoidance of double taxation applied under national tax legislation to the extent they follow the same logic and conditions as the provisions of bilateral or multilateral agreements</w:t>
      </w:r>
      <w:r>
        <w:rPr>
          <w:noProof/>
        </w:rPr>
        <w:t>;</w:t>
      </w:r>
      <w:r w:rsidRPr="00B677E6">
        <w:rPr>
          <w:noProof/>
        </w:rPr>
        <w:t xml:space="preserve"> </w:t>
      </w:r>
    </w:p>
    <w:p w14:paraId="5E081D52" w14:textId="77777777" w:rsidR="00137395" w:rsidRDefault="00137395" w:rsidP="00441DE3">
      <w:pPr>
        <w:pStyle w:val="ListParagraph"/>
        <w:ind w:left="900"/>
        <w:rPr>
          <w:noProof/>
        </w:rPr>
      </w:pPr>
    </w:p>
    <w:p w14:paraId="7859ACB3" w14:textId="4D1B91ED" w:rsidR="00137395" w:rsidRDefault="00137395" w:rsidP="00617672">
      <w:pPr>
        <w:pStyle w:val="ListParagraph"/>
        <w:numPr>
          <w:ilvl w:val="1"/>
          <w:numId w:val="251"/>
        </w:numPr>
        <w:rPr>
          <w:noProof/>
        </w:rPr>
      </w:pPr>
      <w:r>
        <w:rPr>
          <w:noProof/>
        </w:rPr>
        <w:t>p</w:t>
      </w:r>
      <w:r w:rsidRPr="00B677E6">
        <w:rPr>
          <w:noProof/>
        </w:rPr>
        <w:t>rovision</w:t>
      </w:r>
      <w:r w:rsidR="00E1379B">
        <w:rPr>
          <w:noProof/>
        </w:rPr>
        <w:t> </w:t>
      </w:r>
      <w:r w:rsidRPr="00B677E6">
        <w:rPr>
          <w:noProof/>
        </w:rPr>
        <w:t>/</w:t>
      </w:r>
      <w:r w:rsidR="00E1379B">
        <w:rPr>
          <w:noProof/>
        </w:rPr>
        <w:t xml:space="preserve"> </w:t>
      </w:r>
      <w:r w:rsidRPr="00B677E6">
        <w:rPr>
          <w:noProof/>
        </w:rPr>
        <w:t>purchase of goods</w:t>
      </w:r>
      <w:r w:rsidR="00E1379B">
        <w:rPr>
          <w:noProof/>
        </w:rPr>
        <w:t xml:space="preserve"> or </w:t>
      </w:r>
      <w:r w:rsidRPr="00B677E6">
        <w:rPr>
          <w:noProof/>
        </w:rPr>
        <w:t>services (except financial services) at market terms in the ordinary course of business, for example the provision</w:t>
      </w:r>
      <w:r w:rsidR="00E1379B">
        <w:rPr>
          <w:noProof/>
        </w:rPr>
        <w:t> </w:t>
      </w:r>
      <w:r w:rsidRPr="00B677E6">
        <w:rPr>
          <w:noProof/>
        </w:rPr>
        <w:t>/</w:t>
      </w:r>
      <w:r w:rsidR="00E1379B">
        <w:rPr>
          <w:noProof/>
        </w:rPr>
        <w:t xml:space="preserve"> </w:t>
      </w:r>
      <w:r w:rsidRPr="00B677E6">
        <w:rPr>
          <w:noProof/>
        </w:rPr>
        <w:t>purchase of goods or services carried out following a competitive, transparent and non-discriminatory tender procedure</w:t>
      </w:r>
      <w:r>
        <w:rPr>
          <w:noProof/>
        </w:rPr>
        <w:t>;</w:t>
      </w:r>
    </w:p>
    <w:p w14:paraId="7C56B1D1" w14:textId="3E423F5A" w:rsidR="00137395" w:rsidRDefault="00805300" w:rsidP="00617672">
      <w:pPr>
        <w:pStyle w:val="Bullet2"/>
        <w:numPr>
          <w:ilvl w:val="1"/>
          <w:numId w:val="251"/>
        </w:numPr>
        <w:rPr>
          <w:noProof/>
        </w:rPr>
      </w:pPr>
      <w:r>
        <w:rPr>
          <w:noProof/>
        </w:rPr>
        <w:t xml:space="preserve">FFCs below the individual amount of </w:t>
      </w:r>
      <w:r w:rsidR="00E1379B">
        <w:rPr>
          <w:noProof/>
        </w:rPr>
        <w:t>EUR </w:t>
      </w:r>
      <w:r>
        <w:rPr>
          <w:noProof/>
        </w:rPr>
        <w:t>1 million</w:t>
      </w:r>
      <w:r w:rsidR="00441DE3">
        <w:rPr>
          <w:noProof/>
        </w:rPr>
        <w:t>.</w:t>
      </w:r>
    </w:p>
    <w:p w14:paraId="674E696C" w14:textId="44DC55A1" w:rsidR="00137395" w:rsidRDefault="00137395" w:rsidP="00137395">
      <w:pPr>
        <w:rPr>
          <w:noProof/>
        </w:rPr>
      </w:pPr>
      <w:r>
        <w:rPr>
          <w:noProof/>
        </w:rPr>
        <w:t>The FSIR also allows for the possibility of requesting a waiver to disclose certain information in the Form FS-PP, during the pre-notification contacts, where:</w:t>
      </w:r>
    </w:p>
    <w:p w14:paraId="462F37BD" w14:textId="77777777" w:rsidR="00137395" w:rsidRDefault="00137395" w:rsidP="00617672">
      <w:pPr>
        <w:pStyle w:val="ListParagraph"/>
        <w:numPr>
          <w:ilvl w:val="0"/>
          <w:numId w:val="249"/>
        </w:numPr>
        <w:rPr>
          <w:noProof/>
        </w:rPr>
      </w:pPr>
      <w:r>
        <w:rPr>
          <w:noProof/>
        </w:rPr>
        <w:t>the information is not reasonably available; or</w:t>
      </w:r>
    </w:p>
    <w:p w14:paraId="1C7A2FE5" w14:textId="77777777" w:rsidR="00137395" w:rsidRDefault="00137395" w:rsidP="00617672">
      <w:pPr>
        <w:pStyle w:val="ListParagraph"/>
        <w:numPr>
          <w:ilvl w:val="0"/>
          <w:numId w:val="249"/>
        </w:numPr>
        <w:rPr>
          <w:noProof/>
        </w:rPr>
      </w:pPr>
      <w:r>
        <w:rPr>
          <w:noProof/>
        </w:rPr>
        <w:t>the information is not necessary for the Commission’s assessment under the FSR.</w:t>
      </w:r>
    </w:p>
    <w:p w14:paraId="39BA5356" w14:textId="7B88AC79" w:rsidR="00E60FCE" w:rsidRDefault="00830C35" w:rsidP="004A1922">
      <w:pPr>
        <w:rPr>
          <w:noProof/>
        </w:rPr>
      </w:pPr>
      <w:r>
        <w:rPr>
          <w:noProof/>
        </w:rPr>
        <w:t xml:space="preserve">Following </w:t>
      </w:r>
      <w:r w:rsidR="00B10957">
        <w:rPr>
          <w:noProof/>
        </w:rPr>
        <w:t xml:space="preserve">the </w:t>
      </w:r>
      <w:r>
        <w:rPr>
          <w:noProof/>
        </w:rPr>
        <w:t>notification</w:t>
      </w:r>
      <w:r w:rsidR="00557A25">
        <w:rPr>
          <w:noProof/>
        </w:rPr>
        <w:t xml:space="preserve"> or declaration</w:t>
      </w:r>
      <w:r>
        <w:rPr>
          <w:noProof/>
        </w:rPr>
        <w:t xml:space="preserve">, the Commission conducts a preliminary review within </w:t>
      </w:r>
      <w:r w:rsidR="00E1379B">
        <w:rPr>
          <w:noProof/>
        </w:rPr>
        <w:t>20 </w:t>
      </w:r>
      <w:r>
        <w:rPr>
          <w:noProof/>
        </w:rPr>
        <w:t xml:space="preserve">working days. Where the Commission considers that a foreign subsidy </w:t>
      </w:r>
      <w:r w:rsidR="00AE704C">
        <w:rPr>
          <w:noProof/>
        </w:rPr>
        <w:t xml:space="preserve">could </w:t>
      </w:r>
      <w:r>
        <w:rPr>
          <w:noProof/>
        </w:rPr>
        <w:t xml:space="preserve">distort the internal market, it may open an in-depth investigation, which must be concluded within </w:t>
      </w:r>
      <w:r w:rsidR="00E1379B">
        <w:rPr>
          <w:noProof/>
        </w:rPr>
        <w:t>110 </w:t>
      </w:r>
      <w:r>
        <w:rPr>
          <w:noProof/>
        </w:rPr>
        <w:t>working days, subject to extensions or suspensions as provided for in the Regulation</w:t>
      </w:r>
      <w:r w:rsidR="00E60FCE" w:rsidRPr="00E60FCE" w:rsidDel="009B2F9F">
        <w:rPr>
          <w:noProof/>
        </w:rPr>
        <w:t>.</w:t>
      </w:r>
    </w:p>
    <w:p w14:paraId="6F1C06EA" w14:textId="1DD5266C" w:rsidR="00CD51B2" w:rsidRDefault="00CD51B2" w:rsidP="00093BF9">
      <w:pPr>
        <w:pStyle w:val="Heading3"/>
        <w:rPr>
          <w:noProof/>
        </w:rPr>
      </w:pPr>
      <w:bookmarkStart w:id="18" w:name="_Toc234227839"/>
      <w:r w:rsidRPr="00093BF9">
        <w:rPr>
          <w:noProof/>
        </w:rPr>
        <w:t>Possibility</w:t>
      </w:r>
      <w:r>
        <w:rPr>
          <w:noProof/>
        </w:rPr>
        <w:t xml:space="preserve"> to request prior notification</w:t>
      </w:r>
      <w:bookmarkEnd w:id="18"/>
    </w:p>
    <w:p w14:paraId="14E399A7" w14:textId="777A9260" w:rsidR="00CD51B2" w:rsidRDefault="00C701CE" w:rsidP="004A1922">
      <w:pPr>
        <w:rPr>
          <w:noProof/>
        </w:rPr>
      </w:pPr>
      <w:r>
        <w:rPr>
          <w:noProof/>
        </w:rPr>
        <w:t>In addition to the three enforcement procedures described above</w:t>
      </w:r>
      <w:r w:rsidR="005E1E66">
        <w:rPr>
          <w:noProof/>
        </w:rPr>
        <w:t xml:space="preserve"> in subsections 3.2.1, 3.2.2. and 3.2.3</w:t>
      </w:r>
      <w:r>
        <w:rPr>
          <w:noProof/>
        </w:rPr>
        <w:t>, the</w:t>
      </w:r>
      <w:r w:rsidR="00CD51B2">
        <w:rPr>
          <w:noProof/>
        </w:rPr>
        <w:t xml:space="preserve"> Regulation allows the Commission to examine cases below the</w:t>
      </w:r>
      <w:r w:rsidR="00DC54A5">
        <w:rPr>
          <w:noProof/>
        </w:rPr>
        <w:t xml:space="preserve"> </w:t>
      </w:r>
      <w:r w:rsidR="00CD51B2">
        <w:rPr>
          <w:noProof/>
        </w:rPr>
        <w:t>notification thresholds through</w:t>
      </w:r>
      <w:r w:rsidR="00DC54A5">
        <w:rPr>
          <w:noProof/>
        </w:rPr>
        <w:t xml:space="preserve"> the use of </w:t>
      </w:r>
      <w:r w:rsidR="001238DC">
        <w:rPr>
          <w:noProof/>
        </w:rPr>
        <w:t>‘</w:t>
      </w:r>
      <w:r w:rsidR="00CD51B2">
        <w:rPr>
          <w:noProof/>
        </w:rPr>
        <w:t>call-in powers</w:t>
      </w:r>
      <w:r w:rsidR="001238DC">
        <w:rPr>
          <w:noProof/>
        </w:rPr>
        <w:t>’</w:t>
      </w:r>
      <w:r w:rsidR="00CD51B2">
        <w:rPr>
          <w:noProof/>
        </w:rPr>
        <w:t xml:space="preserve">, where there are </w:t>
      </w:r>
      <w:r w:rsidR="00D12C9A">
        <w:rPr>
          <w:noProof/>
        </w:rPr>
        <w:t>suspicions</w:t>
      </w:r>
      <w:r w:rsidR="00CD51B2">
        <w:rPr>
          <w:noProof/>
        </w:rPr>
        <w:t xml:space="preserve"> that</w:t>
      </w:r>
      <w:r w:rsidR="00DC54A5">
        <w:rPr>
          <w:noProof/>
        </w:rPr>
        <w:t xml:space="preserve"> there are</w:t>
      </w:r>
      <w:r w:rsidR="00CD51B2">
        <w:rPr>
          <w:noProof/>
        </w:rPr>
        <w:t xml:space="preserve"> foreign subsidies</w:t>
      </w:r>
      <w:r w:rsidR="00DC54A5">
        <w:rPr>
          <w:noProof/>
        </w:rPr>
        <w:t xml:space="preserve"> granted in the particular concentration or public procurement procedure.</w:t>
      </w:r>
      <w:r w:rsidR="00CD51B2">
        <w:rPr>
          <w:noProof/>
        </w:rPr>
        <w:t xml:space="preserve"> These call-in mechanisms complement the notification-based system and can be </w:t>
      </w:r>
      <w:r w:rsidR="00E1379B">
        <w:rPr>
          <w:noProof/>
        </w:rPr>
        <w:t xml:space="preserve">relied upon </w:t>
      </w:r>
      <w:r w:rsidR="00CD51B2">
        <w:rPr>
          <w:noProof/>
        </w:rPr>
        <w:t xml:space="preserve">to request notifications for both concentrations and public procurement procedures below the notification thresholds. </w:t>
      </w:r>
    </w:p>
    <w:p w14:paraId="346964DB" w14:textId="344E6031" w:rsidR="00CD51B2" w:rsidRPr="00CD51B2" w:rsidRDefault="00CD51B2" w:rsidP="004A1922">
      <w:pPr>
        <w:rPr>
          <w:noProof/>
        </w:rPr>
      </w:pPr>
      <w:r>
        <w:rPr>
          <w:noProof/>
        </w:rPr>
        <w:t>The FSR Guidelines provide further clarity on the conditions necessary for the Commission to be able to request prior notification and shed light on the types of considerations it can take into account when deciding in which situations a prior notification may be appropriate.</w:t>
      </w:r>
    </w:p>
    <w:p w14:paraId="4C013E21" w14:textId="28D4EE86" w:rsidR="000E4A41" w:rsidRPr="00781DB9" w:rsidRDefault="000E4A41" w:rsidP="00093BF9">
      <w:pPr>
        <w:pStyle w:val="Heading3"/>
        <w:rPr>
          <w:noProof/>
        </w:rPr>
      </w:pPr>
      <w:bookmarkStart w:id="19" w:name="_Toc234227840"/>
      <w:r w:rsidRPr="00781DB9">
        <w:rPr>
          <w:noProof/>
        </w:rPr>
        <w:t>Sources of information and market investigations</w:t>
      </w:r>
      <w:bookmarkEnd w:id="19"/>
    </w:p>
    <w:p w14:paraId="38D1E4F9" w14:textId="7C8FB040" w:rsidR="00E60FCE" w:rsidRPr="00E60FCE" w:rsidRDefault="00C701CE" w:rsidP="004A1922">
      <w:pPr>
        <w:rPr>
          <w:noProof/>
        </w:rPr>
      </w:pPr>
      <w:r>
        <w:rPr>
          <w:noProof/>
        </w:rPr>
        <w:t>M</w:t>
      </w:r>
      <w:r w:rsidR="00E60FCE" w:rsidRPr="00E60FCE">
        <w:rPr>
          <w:noProof/>
        </w:rPr>
        <w:t>arket information</w:t>
      </w:r>
      <w:r w:rsidR="00CD51B2">
        <w:rPr>
          <w:noProof/>
        </w:rPr>
        <w:t xml:space="preserve"> on potential</w:t>
      </w:r>
      <w:r w:rsidR="009D603E">
        <w:rPr>
          <w:noProof/>
        </w:rPr>
        <w:t>ly</w:t>
      </w:r>
      <w:r w:rsidR="00CD51B2">
        <w:rPr>
          <w:noProof/>
        </w:rPr>
        <w:t xml:space="preserve"> distortive foreign subsidies</w:t>
      </w:r>
      <w:r w:rsidR="00E60FCE" w:rsidRPr="00E60FCE">
        <w:rPr>
          <w:noProof/>
        </w:rPr>
        <w:t xml:space="preserve"> plays a central role</w:t>
      </w:r>
      <w:r>
        <w:rPr>
          <w:noProof/>
        </w:rPr>
        <w:t xml:space="preserve"> in the Commission’s enforcement of the FSR</w:t>
      </w:r>
      <w:r w:rsidR="00891DE4">
        <w:rPr>
          <w:noProof/>
        </w:rPr>
        <w:t xml:space="preserve">. </w:t>
      </w:r>
      <w:r w:rsidR="00E60FCE" w:rsidRPr="00E60FCE">
        <w:rPr>
          <w:noProof/>
        </w:rPr>
        <w:t xml:space="preserve">This is particularly relevant for the effective functioning of the ex officio </w:t>
      </w:r>
      <w:r w:rsidR="00E1379B">
        <w:rPr>
          <w:noProof/>
        </w:rPr>
        <w:t>procedure</w:t>
      </w:r>
      <w:r w:rsidR="00E1379B" w:rsidRPr="00E60FCE">
        <w:rPr>
          <w:noProof/>
        </w:rPr>
        <w:t xml:space="preserve"> </w:t>
      </w:r>
      <w:r w:rsidR="00E60FCE" w:rsidRPr="00E60FCE">
        <w:rPr>
          <w:noProof/>
        </w:rPr>
        <w:t>and the exercise of call-in powers.</w:t>
      </w:r>
      <w:r w:rsidR="00E60FCE" w:rsidRPr="00E60FCE" w:rsidDel="00ED57C3">
        <w:rPr>
          <w:noProof/>
        </w:rPr>
        <w:t xml:space="preserve"> </w:t>
      </w:r>
      <w:r w:rsidR="00ED57C3">
        <w:rPr>
          <w:noProof/>
        </w:rPr>
        <w:t>For its enforcement of the FSR</w:t>
      </w:r>
      <w:r w:rsidR="00E60FCE" w:rsidRPr="00E60FCE">
        <w:rPr>
          <w:noProof/>
        </w:rPr>
        <w:t xml:space="preserve">, the Commission may rely on information </w:t>
      </w:r>
      <w:r w:rsidR="00B638D8">
        <w:rPr>
          <w:noProof/>
        </w:rPr>
        <w:t xml:space="preserve">from </w:t>
      </w:r>
      <w:r w:rsidR="00DC54A5">
        <w:rPr>
          <w:noProof/>
        </w:rPr>
        <w:t xml:space="preserve">any source, including </w:t>
      </w:r>
      <w:r w:rsidR="00E60FCE" w:rsidRPr="00E60FCE">
        <w:rPr>
          <w:noProof/>
        </w:rPr>
        <w:t xml:space="preserve">Member States, contracting authorities, competitors, market participants and other sources, as well as on market investigations conducted under </w:t>
      </w:r>
      <w:r w:rsidR="00E1379B" w:rsidRPr="00E60FCE">
        <w:rPr>
          <w:noProof/>
        </w:rPr>
        <w:t>Article</w:t>
      </w:r>
      <w:r w:rsidR="00E1379B">
        <w:rPr>
          <w:noProof/>
        </w:rPr>
        <w:t> </w:t>
      </w:r>
      <w:r w:rsidR="00E60FCE" w:rsidRPr="00E60FCE">
        <w:rPr>
          <w:noProof/>
        </w:rPr>
        <w:t>36 FSR</w:t>
      </w:r>
      <w:r w:rsidR="00830C35">
        <w:rPr>
          <w:noProof/>
        </w:rPr>
        <w:t xml:space="preserve">, </w:t>
      </w:r>
      <w:r w:rsidR="00830C35" w:rsidRPr="00830C35">
        <w:rPr>
          <w:noProof/>
        </w:rPr>
        <w:t xml:space="preserve">which constitute a horizontal information-gathering tool applicable across the </w:t>
      </w:r>
      <w:r w:rsidR="00CD51B2">
        <w:rPr>
          <w:noProof/>
        </w:rPr>
        <w:t>three</w:t>
      </w:r>
      <w:r w:rsidR="00830C35" w:rsidRPr="00830C35">
        <w:rPr>
          <w:noProof/>
        </w:rPr>
        <w:t xml:space="preserve"> </w:t>
      </w:r>
      <w:r w:rsidR="00B638D8">
        <w:rPr>
          <w:noProof/>
        </w:rPr>
        <w:t>enforcement procedures</w:t>
      </w:r>
      <w:r w:rsidR="00E60FCE" w:rsidRPr="00E60FCE">
        <w:rPr>
          <w:noProof/>
        </w:rPr>
        <w:t>.</w:t>
      </w:r>
    </w:p>
    <w:p w14:paraId="1EC1B741" w14:textId="77777777" w:rsidR="008C7584" w:rsidRDefault="008C7584" w:rsidP="00093BF9">
      <w:pPr>
        <w:pStyle w:val="Heading2"/>
        <w:rPr>
          <w:noProof/>
        </w:rPr>
      </w:pPr>
      <w:bookmarkStart w:id="20" w:name="_Toc234227841"/>
      <w:r>
        <w:rPr>
          <w:noProof/>
        </w:rPr>
        <w:t>Division of responsibilities between DG COMP and DG GROW</w:t>
      </w:r>
      <w:bookmarkEnd w:id="20"/>
    </w:p>
    <w:p w14:paraId="390E6393" w14:textId="77777777" w:rsidR="00E92794" w:rsidRDefault="00E92794" w:rsidP="00E92794">
      <w:pPr>
        <w:rPr>
          <w:noProof/>
        </w:rPr>
      </w:pPr>
      <w:r w:rsidRPr="009B5E11">
        <w:rPr>
          <w:noProof/>
        </w:rPr>
        <w:t>The</w:t>
      </w:r>
      <w:r>
        <w:rPr>
          <w:noProof/>
        </w:rPr>
        <w:t xml:space="preserve"> FSR is enforced exclusively by the Commission</w:t>
      </w:r>
      <w:r w:rsidRPr="009B5E11">
        <w:rPr>
          <w:noProof/>
        </w:rPr>
        <w:t>.</w:t>
      </w:r>
      <w:bookmarkStart w:id="21" w:name="_Hlk229135718"/>
      <w:r>
        <w:rPr>
          <w:noProof/>
        </w:rPr>
        <w:t xml:space="preserve"> </w:t>
      </w:r>
    </w:p>
    <w:p w14:paraId="259AD032" w14:textId="7DFA04D5" w:rsidR="00E92794" w:rsidRDefault="00E92794" w:rsidP="00E92794">
      <w:pPr>
        <w:rPr>
          <w:noProof/>
        </w:rPr>
      </w:pPr>
      <w:r w:rsidRPr="009B5E11">
        <w:rPr>
          <w:noProof/>
        </w:rPr>
        <w:t xml:space="preserve">DG COMP is responsible for </w:t>
      </w:r>
      <w:r>
        <w:rPr>
          <w:noProof/>
        </w:rPr>
        <w:t>applying</w:t>
      </w:r>
      <w:r w:rsidRPr="009B5E11">
        <w:rPr>
          <w:noProof/>
        </w:rPr>
        <w:t xml:space="preserve"> the FSR in relation to concentrations and for the general use of the ex officio </w:t>
      </w:r>
      <w:r>
        <w:rPr>
          <w:noProof/>
        </w:rPr>
        <w:t xml:space="preserve">investigative </w:t>
      </w:r>
      <w:r w:rsidRPr="009B5E11">
        <w:rPr>
          <w:noProof/>
        </w:rPr>
        <w:t xml:space="preserve">mechanism. </w:t>
      </w:r>
      <w:bookmarkEnd w:id="21"/>
    </w:p>
    <w:p w14:paraId="1F9AB74F" w14:textId="2349E885" w:rsidR="00E92794" w:rsidRDefault="00E92794" w:rsidP="00E92794">
      <w:pPr>
        <w:rPr>
          <w:noProof/>
        </w:rPr>
      </w:pPr>
      <w:r w:rsidRPr="009B5E11">
        <w:rPr>
          <w:noProof/>
        </w:rPr>
        <w:t xml:space="preserve">DG GROW is responsible for </w:t>
      </w:r>
      <w:r>
        <w:rPr>
          <w:noProof/>
        </w:rPr>
        <w:t>applying</w:t>
      </w:r>
      <w:r w:rsidRPr="009B5E11">
        <w:rPr>
          <w:noProof/>
        </w:rPr>
        <w:t xml:space="preserve"> the </w:t>
      </w:r>
      <w:r>
        <w:rPr>
          <w:noProof/>
        </w:rPr>
        <w:t>FSR</w:t>
      </w:r>
      <w:r w:rsidRPr="009B5E11">
        <w:rPr>
          <w:noProof/>
        </w:rPr>
        <w:t xml:space="preserve"> in </w:t>
      </w:r>
      <w:r>
        <w:rPr>
          <w:noProof/>
        </w:rPr>
        <w:t>relation to</w:t>
      </w:r>
      <w:r w:rsidRPr="009B5E11">
        <w:rPr>
          <w:noProof/>
        </w:rPr>
        <w:t xml:space="preserve"> public procurement procedures</w:t>
      </w:r>
      <w:r>
        <w:rPr>
          <w:noProof/>
        </w:rPr>
        <w:t xml:space="preserve"> and for the use of </w:t>
      </w:r>
      <w:r w:rsidRPr="009B5E11">
        <w:rPr>
          <w:noProof/>
        </w:rPr>
        <w:t xml:space="preserve">ex officio </w:t>
      </w:r>
      <w:r>
        <w:rPr>
          <w:noProof/>
        </w:rPr>
        <w:t>investigative mechanism</w:t>
      </w:r>
      <w:r w:rsidRPr="009B5E11">
        <w:rPr>
          <w:noProof/>
        </w:rPr>
        <w:t xml:space="preserve"> linked to public procurement</w:t>
      </w:r>
      <w:r>
        <w:rPr>
          <w:noProof/>
        </w:rPr>
        <w:t xml:space="preserve"> procedures and similar forms of public spending</w:t>
      </w:r>
      <w:r w:rsidRPr="009B5E11">
        <w:rPr>
          <w:noProof/>
        </w:rPr>
        <w:t>.</w:t>
      </w:r>
      <w:r>
        <w:rPr>
          <w:noProof/>
        </w:rPr>
        <w:t xml:space="preserve"> </w:t>
      </w:r>
    </w:p>
    <w:p w14:paraId="05A48FB7" w14:textId="44AD85F5" w:rsidR="009B5E11" w:rsidRPr="009B5E11" w:rsidRDefault="009B5E11" w:rsidP="004A1922">
      <w:pPr>
        <w:rPr>
          <w:noProof/>
        </w:rPr>
      </w:pPr>
      <w:r w:rsidRPr="009B5E11">
        <w:rPr>
          <w:noProof/>
        </w:rPr>
        <w:t>This division of responsibilities reflects the respective experience of the services in competition enforcement and public procurement and supports the coherent application of the FSR.</w:t>
      </w:r>
      <w:r w:rsidR="00EC6542">
        <w:rPr>
          <w:noProof/>
        </w:rPr>
        <w:t xml:space="preserve"> Any enforcement activities under the FSR benefit from coordination of action</w:t>
      </w:r>
      <w:r w:rsidR="00B76B79">
        <w:rPr>
          <w:noProof/>
        </w:rPr>
        <w:t>s</w:t>
      </w:r>
      <w:r w:rsidR="00EC6542">
        <w:rPr>
          <w:noProof/>
        </w:rPr>
        <w:t xml:space="preserve"> between the responsible services to ensure alignment in interpretation and enforcement of the Regulation. In addition, final decisions under the FSR are adopted </w:t>
      </w:r>
      <w:r w:rsidR="00B76B79">
        <w:rPr>
          <w:noProof/>
        </w:rPr>
        <w:t>in accordance with</w:t>
      </w:r>
      <w:r w:rsidR="00EC6542">
        <w:rPr>
          <w:noProof/>
        </w:rPr>
        <w:t xml:space="preserve"> the principle of collegiality</w:t>
      </w:r>
      <w:r w:rsidR="00B76B79">
        <w:rPr>
          <w:noProof/>
        </w:rPr>
        <w:t xml:space="preserve"> in decision-making.</w:t>
      </w:r>
      <w:r w:rsidR="00EC6542">
        <w:rPr>
          <w:noProof/>
        </w:rPr>
        <w:t xml:space="preserve"> </w:t>
      </w:r>
    </w:p>
    <w:p w14:paraId="624DE30A" w14:textId="094A0A73" w:rsidR="008C7584" w:rsidRDefault="008C7584" w:rsidP="00B26B16">
      <w:pPr>
        <w:pStyle w:val="Heading2"/>
        <w:rPr>
          <w:noProof/>
        </w:rPr>
      </w:pPr>
      <w:bookmarkStart w:id="22" w:name="_Toc234227842"/>
      <w:r>
        <w:rPr>
          <w:noProof/>
        </w:rPr>
        <w:t xml:space="preserve">Interactions with </w:t>
      </w:r>
      <w:r w:rsidR="001E3372">
        <w:rPr>
          <w:noProof/>
        </w:rPr>
        <w:t>other instruments</w:t>
      </w:r>
      <w:bookmarkEnd w:id="22"/>
      <w:r w:rsidR="001E3372">
        <w:rPr>
          <w:noProof/>
        </w:rPr>
        <w:t xml:space="preserve"> </w:t>
      </w:r>
    </w:p>
    <w:p w14:paraId="414CD80A" w14:textId="4F52AD14" w:rsidR="009B5E11" w:rsidRDefault="009B5E11" w:rsidP="004A1922">
      <w:pPr>
        <w:rPr>
          <w:noProof/>
        </w:rPr>
      </w:pPr>
      <w:r w:rsidRPr="009B5E11">
        <w:rPr>
          <w:noProof/>
        </w:rPr>
        <w:t>The FSR operates alongside a number of existing EU instruments that pursue distinct objectives and rely on different legal tests and procedural frameworks. In practice,</w:t>
      </w:r>
      <w:r w:rsidR="00ED57C3">
        <w:rPr>
          <w:noProof/>
        </w:rPr>
        <w:t xml:space="preserve"> behaviours and</w:t>
      </w:r>
      <w:r w:rsidRPr="009B5E11" w:rsidDel="00ED57C3">
        <w:rPr>
          <w:noProof/>
        </w:rPr>
        <w:t xml:space="preserve"> </w:t>
      </w:r>
      <w:r w:rsidRPr="009B5E11">
        <w:rPr>
          <w:noProof/>
        </w:rPr>
        <w:t>procedures subject to review under the FSR may also fall within the scope of other EU regimes, which may give rise to parallel proceedings.</w:t>
      </w:r>
    </w:p>
    <w:p w14:paraId="1574CC91" w14:textId="5C735D6B" w:rsidR="009B5E11" w:rsidRPr="009B5E11" w:rsidRDefault="009B5E11" w:rsidP="00093BF9">
      <w:pPr>
        <w:pStyle w:val="Heading3"/>
        <w:rPr>
          <w:noProof/>
        </w:rPr>
      </w:pPr>
      <w:bookmarkStart w:id="23" w:name="_Toc234227843"/>
      <w:r w:rsidRPr="00093BF9">
        <w:rPr>
          <w:noProof/>
        </w:rPr>
        <w:t>Interaction</w:t>
      </w:r>
      <w:r>
        <w:rPr>
          <w:noProof/>
        </w:rPr>
        <w:t xml:space="preserve"> with </w:t>
      </w:r>
      <w:r w:rsidR="00E1379B">
        <w:rPr>
          <w:noProof/>
        </w:rPr>
        <w:t>the</w:t>
      </w:r>
      <w:r>
        <w:rPr>
          <w:noProof/>
        </w:rPr>
        <w:t xml:space="preserve"> EUMR</w:t>
      </w:r>
      <w:bookmarkEnd w:id="23"/>
    </w:p>
    <w:p w14:paraId="480DF8C6" w14:textId="7E58E982" w:rsidR="009B5E11" w:rsidRPr="009B5E11" w:rsidRDefault="009B5E11" w:rsidP="004A1922">
      <w:pPr>
        <w:rPr>
          <w:noProof/>
        </w:rPr>
      </w:pPr>
      <w:r w:rsidRPr="009B5E11">
        <w:rPr>
          <w:noProof/>
        </w:rPr>
        <w:t>A</w:t>
      </w:r>
      <w:r w:rsidRPr="009B5E11" w:rsidDel="009C4BBD">
        <w:rPr>
          <w:noProof/>
        </w:rPr>
        <w:t xml:space="preserve"> </w:t>
      </w:r>
      <w:r w:rsidR="009C4BBD">
        <w:rPr>
          <w:noProof/>
        </w:rPr>
        <w:t>high number</w:t>
      </w:r>
      <w:r w:rsidR="009C4BBD" w:rsidRPr="009B5E11">
        <w:rPr>
          <w:noProof/>
        </w:rPr>
        <w:t xml:space="preserve"> </w:t>
      </w:r>
      <w:r w:rsidRPr="009B5E11">
        <w:rPr>
          <w:noProof/>
        </w:rPr>
        <w:t xml:space="preserve">of concentrations notified under the FSR also fall within the scope of </w:t>
      </w:r>
      <w:r w:rsidR="00477B5A">
        <w:rPr>
          <w:noProof/>
        </w:rPr>
        <w:t>the EUMR</w:t>
      </w:r>
      <w:r w:rsidR="00353C1A">
        <w:rPr>
          <w:noProof/>
        </w:rPr>
        <w:t>.</w:t>
      </w:r>
      <w:r w:rsidRPr="009B5E11">
        <w:rPr>
          <w:noProof/>
        </w:rPr>
        <w:t xml:space="preserve"> Based on </w:t>
      </w:r>
      <w:r w:rsidR="00AC4EDA">
        <w:rPr>
          <w:noProof/>
        </w:rPr>
        <w:t>enforcement</w:t>
      </w:r>
      <w:r w:rsidRPr="009B5E11">
        <w:rPr>
          <w:noProof/>
        </w:rPr>
        <w:t>experience to date</w:t>
      </w:r>
      <w:r w:rsidR="006905A1" w:rsidRPr="006905A1">
        <w:rPr>
          <w:noProof/>
        </w:rPr>
        <w:t> (</w:t>
      </w:r>
      <w:r w:rsidR="006905A1">
        <w:rPr>
          <w:rStyle w:val="FootnoteReference"/>
          <w:noProof/>
        </w:rPr>
        <w:footnoteReference w:id="23"/>
      </w:r>
      <w:r w:rsidR="006905A1">
        <w:rPr>
          <w:noProof/>
        </w:rPr>
        <w:t>)</w:t>
      </w:r>
      <w:r w:rsidRPr="009B5E11">
        <w:rPr>
          <w:noProof/>
        </w:rPr>
        <w:t xml:space="preserve">, </w:t>
      </w:r>
      <w:r w:rsidRPr="000347B9">
        <w:rPr>
          <w:noProof/>
        </w:rPr>
        <w:t xml:space="preserve">approximately </w:t>
      </w:r>
      <w:r w:rsidR="007D30DF" w:rsidRPr="000347B9">
        <w:rPr>
          <w:noProof/>
        </w:rPr>
        <w:t>80</w:t>
      </w:r>
      <w:r w:rsidR="00B72A03">
        <w:rPr>
          <w:noProof/>
        </w:rPr>
        <w:t>%</w:t>
      </w:r>
      <w:r w:rsidR="007D30DF" w:rsidRPr="009B5E11">
        <w:rPr>
          <w:noProof/>
        </w:rPr>
        <w:t xml:space="preserve"> of </w:t>
      </w:r>
      <w:r w:rsidR="007467E4">
        <w:rPr>
          <w:noProof/>
        </w:rPr>
        <w:t xml:space="preserve">the </w:t>
      </w:r>
      <w:r w:rsidRPr="009B5E11">
        <w:rPr>
          <w:noProof/>
        </w:rPr>
        <w:t>concentrations notified under the FSR were also notifiable under the EUMR.</w:t>
      </w:r>
      <w:r w:rsidR="009C4BBD">
        <w:rPr>
          <w:noProof/>
        </w:rPr>
        <w:t xml:space="preserve"> This is not surprising, considering that both </w:t>
      </w:r>
      <w:r w:rsidR="00FC5C99">
        <w:rPr>
          <w:noProof/>
        </w:rPr>
        <w:t xml:space="preserve">regimes are triggered by </w:t>
      </w:r>
      <w:r w:rsidR="00D67F13">
        <w:rPr>
          <w:noProof/>
        </w:rPr>
        <w:t xml:space="preserve">the same economic </w:t>
      </w:r>
      <w:r w:rsidR="005E3791">
        <w:rPr>
          <w:noProof/>
        </w:rPr>
        <w:t>event</w:t>
      </w:r>
      <w:r w:rsidR="00D67F13">
        <w:rPr>
          <w:noProof/>
        </w:rPr>
        <w:t xml:space="preserve">, namely </w:t>
      </w:r>
      <w:r w:rsidR="00E1379B">
        <w:rPr>
          <w:noProof/>
        </w:rPr>
        <w:t xml:space="preserve">a </w:t>
      </w:r>
      <w:r w:rsidR="00D67F13">
        <w:rPr>
          <w:noProof/>
        </w:rPr>
        <w:t>concentration, and</w:t>
      </w:r>
      <w:r w:rsidR="00FC5C99">
        <w:rPr>
          <w:noProof/>
        </w:rPr>
        <w:t xml:space="preserve"> both use turnover as a jurisdictional threshold. </w:t>
      </w:r>
      <w:r w:rsidR="004F5C79">
        <w:rPr>
          <w:noProof/>
        </w:rPr>
        <w:t xml:space="preserve">In addition, the FSR’s turnover threshold is </w:t>
      </w:r>
      <w:r w:rsidR="00FC5C99">
        <w:rPr>
          <w:noProof/>
        </w:rPr>
        <w:t>set at a higher level than the</w:t>
      </w:r>
      <w:r w:rsidR="004F5C79">
        <w:rPr>
          <w:noProof/>
        </w:rPr>
        <w:t xml:space="preserve"> corresponding per-undertaking EU turnover threshold under the </w:t>
      </w:r>
      <w:r w:rsidR="00FC5C99">
        <w:rPr>
          <w:noProof/>
        </w:rPr>
        <w:t>EUM</w:t>
      </w:r>
      <w:r w:rsidR="004F5C79">
        <w:rPr>
          <w:noProof/>
        </w:rPr>
        <w:t>R. The result is that</w:t>
      </w:r>
      <w:r w:rsidR="00FC5C99">
        <w:rPr>
          <w:noProof/>
        </w:rPr>
        <w:t xml:space="preserve"> concentrations that meet the FSR threshold will in most cases also fall within the scope of the EUMR</w:t>
      </w:r>
      <w:r w:rsidR="00931BB9" w:rsidRPr="00931BB9">
        <w:rPr>
          <w:noProof/>
        </w:rPr>
        <w:t> (</w:t>
      </w:r>
      <w:r w:rsidR="00931BB9">
        <w:rPr>
          <w:rStyle w:val="FootnoteReference"/>
          <w:noProof/>
        </w:rPr>
        <w:footnoteReference w:id="24"/>
      </w:r>
      <w:r w:rsidR="00931BB9">
        <w:rPr>
          <w:noProof/>
        </w:rPr>
        <w:t>)</w:t>
      </w:r>
      <w:r w:rsidR="00FC5C99">
        <w:rPr>
          <w:noProof/>
        </w:rPr>
        <w:t>.</w:t>
      </w:r>
    </w:p>
    <w:p w14:paraId="31EF1CD2" w14:textId="3A515FB1" w:rsidR="009B5E11" w:rsidRPr="009B5E11" w:rsidRDefault="00EC6542" w:rsidP="004A1922">
      <w:pPr>
        <w:rPr>
          <w:noProof/>
        </w:rPr>
      </w:pPr>
      <w:r>
        <w:rPr>
          <w:noProof/>
        </w:rPr>
        <w:t>Even if</w:t>
      </w:r>
      <w:r w:rsidR="009B5E11" w:rsidRPr="009B5E11">
        <w:rPr>
          <w:noProof/>
        </w:rPr>
        <w:t xml:space="preserve"> the same transaction may be subject to review under both instruments, the objectives and substantive assessments differ. The EUMR assesses whether a concentration would significantly impede effective competition as a result of changes in market structure and</w:t>
      </w:r>
      <w:r w:rsidR="00F64CA4">
        <w:rPr>
          <w:noProof/>
        </w:rPr>
        <w:t>, therefore,</w:t>
      </w:r>
      <w:r w:rsidR="009B5E11" w:rsidRPr="009B5E11">
        <w:rPr>
          <w:noProof/>
        </w:rPr>
        <w:t xml:space="preserve"> economic power. By contrast, the FSR examines whether foreign subsidies confer an undue advantage that distorts competition in the internal market</w:t>
      </w:r>
      <w:r w:rsidR="00D67F13">
        <w:rPr>
          <w:noProof/>
        </w:rPr>
        <w:t>, either during the acquisition process or in the activities of the combined entity post transaction</w:t>
      </w:r>
      <w:r w:rsidR="009B5E11" w:rsidRPr="009B5E11">
        <w:rPr>
          <w:noProof/>
        </w:rPr>
        <w:t xml:space="preserve">. The outcome of the assessment under one instrument is therefore not determinative </w:t>
      </w:r>
      <w:r w:rsidR="000D73FA">
        <w:rPr>
          <w:noProof/>
        </w:rPr>
        <w:t>for</w:t>
      </w:r>
      <w:r w:rsidR="000D73FA" w:rsidRPr="009B5E11">
        <w:rPr>
          <w:noProof/>
        </w:rPr>
        <w:t xml:space="preserve"> </w:t>
      </w:r>
      <w:r w:rsidR="009B5E11" w:rsidRPr="009B5E11">
        <w:rPr>
          <w:noProof/>
        </w:rPr>
        <w:t>the outcome under the other.</w:t>
      </w:r>
    </w:p>
    <w:p w14:paraId="231409CA" w14:textId="766C05E5" w:rsidR="009B5E11" w:rsidRDefault="00353C1A" w:rsidP="004A1922">
      <w:pPr>
        <w:rPr>
          <w:noProof/>
        </w:rPr>
      </w:pPr>
      <w:r w:rsidRPr="00EC6542">
        <w:rPr>
          <w:noProof/>
        </w:rPr>
        <w:t>While the substantive assessment</w:t>
      </w:r>
      <w:r w:rsidR="00F64CA4">
        <w:rPr>
          <w:noProof/>
        </w:rPr>
        <w:t>s</w:t>
      </w:r>
      <w:r w:rsidRPr="00EC6542">
        <w:rPr>
          <w:noProof/>
        </w:rPr>
        <w:t xml:space="preserve"> and overall objective</w:t>
      </w:r>
      <w:r w:rsidR="00F64CA4">
        <w:rPr>
          <w:noProof/>
        </w:rPr>
        <w:t>s</w:t>
      </w:r>
      <w:r>
        <w:rPr>
          <w:noProof/>
        </w:rPr>
        <w:t xml:space="preserve"> of the two instruments</w:t>
      </w:r>
      <w:r w:rsidRPr="00EC6542">
        <w:rPr>
          <w:noProof/>
        </w:rPr>
        <w:t xml:space="preserve"> differ, </w:t>
      </w:r>
      <w:r w:rsidRPr="00353C1A">
        <w:rPr>
          <w:noProof/>
        </w:rPr>
        <w:t xml:space="preserve">in an effort to enhance legal </w:t>
      </w:r>
      <w:r w:rsidR="00DC54A5">
        <w:rPr>
          <w:noProof/>
        </w:rPr>
        <w:t xml:space="preserve">certainty </w:t>
      </w:r>
      <w:r w:rsidRPr="00353C1A">
        <w:rPr>
          <w:noProof/>
        </w:rPr>
        <w:t xml:space="preserve">and ensure </w:t>
      </w:r>
      <w:r w:rsidR="007467E4">
        <w:rPr>
          <w:noProof/>
        </w:rPr>
        <w:t>consistency</w:t>
      </w:r>
      <w:r w:rsidR="007467E4" w:rsidRPr="00A57783">
        <w:rPr>
          <w:noProof/>
        </w:rPr>
        <w:t xml:space="preserve"> </w:t>
      </w:r>
      <w:r w:rsidR="00DC54A5">
        <w:rPr>
          <w:noProof/>
        </w:rPr>
        <w:t xml:space="preserve">in the interpretation of shared </w:t>
      </w:r>
      <w:r w:rsidR="00581D5D">
        <w:rPr>
          <w:noProof/>
        </w:rPr>
        <w:t>concepts</w:t>
      </w:r>
      <w:r w:rsidRPr="00353C1A">
        <w:rPr>
          <w:noProof/>
        </w:rPr>
        <w:t xml:space="preserve">, many of the concepts in the concentration </w:t>
      </w:r>
      <w:r w:rsidR="009B2F9F">
        <w:rPr>
          <w:noProof/>
        </w:rPr>
        <w:t>procedure</w:t>
      </w:r>
      <w:r w:rsidRPr="00353C1A">
        <w:rPr>
          <w:noProof/>
        </w:rPr>
        <w:t xml:space="preserve"> of the FSR have been aligned with the concepts under the EUMR. Most notably, the FSR relies on the same </w:t>
      </w:r>
      <w:r w:rsidR="00DC54A5">
        <w:rPr>
          <w:noProof/>
        </w:rPr>
        <w:t>notions</w:t>
      </w:r>
      <w:r w:rsidRPr="00353C1A">
        <w:rPr>
          <w:noProof/>
        </w:rPr>
        <w:t xml:space="preserve"> of concentration and of control that are applicable under the EUMR.</w:t>
      </w:r>
      <w:r>
        <w:rPr>
          <w:noProof/>
        </w:rPr>
        <w:t xml:space="preserve"> </w:t>
      </w:r>
      <w:r w:rsidR="009B5E11" w:rsidRPr="00EC6542">
        <w:rPr>
          <w:noProof/>
        </w:rPr>
        <w:t xml:space="preserve">In practice, </w:t>
      </w:r>
      <w:r>
        <w:rPr>
          <w:noProof/>
        </w:rPr>
        <w:t xml:space="preserve">this has resulted in alignment between parts of the information required under the two notification forms, with </w:t>
      </w:r>
      <w:r w:rsidR="007467E4">
        <w:rPr>
          <w:noProof/>
        </w:rPr>
        <w:t>S</w:t>
      </w:r>
      <w:r>
        <w:rPr>
          <w:noProof/>
        </w:rPr>
        <w:t>ections</w:t>
      </w:r>
      <w:r w:rsidR="00E1379B">
        <w:rPr>
          <w:noProof/>
        </w:rPr>
        <w:t> </w:t>
      </w:r>
      <w:r>
        <w:rPr>
          <w:noProof/>
        </w:rPr>
        <w:t xml:space="preserve">1 to 3 of Form FS-CO following the same logic and structure as the initial sections of the notification form </w:t>
      </w:r>
      <w:r w:rsidR="00ED57C3">
        <w:rPr>
          <w:noProof/>
        </w:rPr>
        <w:t>used for procedures under the EUMR</w:t>
      </w:r>
      <w:r>
        <w:rPr>
          <w:noProof/>
        </w:rPr>
        <w:t xml:space="preserve">. </w:t>
      </w:r>
    </w:p>
    <w:p w14:paraId="181075B8" w14:textId="0907E7E3" w:rsidR="009B5E11" w:rsidRPr="009B5E11" w:rsidRDefault="009B5E11" w:rsidP="00093BF9">
      <w:pPr>
        <w:pStyle w:val="Heading3"/>
        <w:rPr>
          <w:noProof/>
        </w:rPr>
      </w:pPr>
      <w:bookmarkStart w:id="24" w:name="_Toc234227844"/>
      <w:r>
        <w:rPr>
          <w:noProof/>
        </w:rPr>
        <w:t xml:space="preserve">Interaction </w:t>
      </w:r>
      <w:r w:rsidRPr="00093BF9">
        <w:rPr>
          <w:noProof/>
        </w:rPr>
        <w:t>with</w:t>
      </w:r>
      <w:r>
        <w:rPr>
          <w:noProof/>
        </w:rPr>
        <w:t xml:space="preserve"> the framework set up by the FDI Screening Regulation</w:t>
      </w:r>
      <w:bookmarkEnd w:id="24"/>
      <w:r>
        <w:rPr>
          <w:noProof/>
        </w:rPr>
        <w:t xml:space="preserve"> </w:t>
      </w:r>
    </w:p>
    <w:p w14:paraId="70AAFE47" w14:textId="481C9D92" w:rsidR="009B5E11" w:rsidRPr="009B5E11" w:rsidRDefault="009B5E11" w:rsidP="004A1922">
      <w:pPr>
        <w:rPr>
          <w:noProof/>
        </w:rPr>
      </w:pPr>
      <w:r w:rsidRPr="009B5E11">
        <w:rPr>
          <w:noProof/>
        </w:rPr>
        <w:t>Certain transactions reviewed under the FSR are also subject to national foreign direct investment (</w:t>
      </w:r>
      <w:r w:rsidR="001238DC">
        <w:rPr>
          <w:noProof/>
        </w:rPr>
        <w:t>‘</w:t>
      </w:r>
      <w:r w:rsidRPr="009B5E11">
        <w:rPr>
          <w:noProof/>
        </w:rPr>
        <w:t>FDI</w:t>
      </w:r>
      <w:r w:rsidR="001238DC">
        <w:rPr>
          <w:noProof/>
        </w:rPr>
        <w:t>’</w:t>
      </w:r>
      <w:r w:rsidRPr="009B5E11">
        <w:rPr>
          <w:noProof/>
        </w:rPr>
        <w:t xml:space="preserve">) screening mechanisms and </w:t>
      </w:r>
      <w:r w:rsidR="00F10D3D">
        <w:rPr>
          <w:noProof/>
        </w:rPr>
        <w:t>may be</w:t>
      </w:r>
      <w:r w:rsidR="00F10D3D" w:rsidRPr="009B5E11">
        <w:rPr>
          <w:noProof/>
        </w:rPr>
        <w:t xml:space="preserve"> </w:t>
      </w:r>
      <w:r w:rsidRPr="009B5E11">
        <w:rPr>
          <w:noProof/>
        </w:rPr>
        <w:t>communicated to the Commission under Regulation (EU) 2019/452</w:t>
      </w:r>
      <w:r w:rsidR="00EC38A1">
        <w:rPr>
          <w:noProof/>
        </w:rPr>
        <w:t xml:space="preserve"> </w:t>
      </w:r>
      <w:r w:rsidR="00EC38A1" w:rsidRPr="00EC38A1">
        <w:rPr>
          <w:noProof/>
        </w:rPr>
        <w:t>of 19 March 2019 establishing a framework for the screening of foreign direct investments into the Union</w:t>
      </w:r>
      <w:r w:rsidRPr="009B5E11">
        <w:rPr>
          <w:noProof/>
        </w:rPr>
        <w:t xml:space="preserve">. </w:t>
      </w:r>
      <w:r w:rsidR="00F64CA4">
        <w:rPr>
          <w:noProof/>
        </w:rPr>
        <w:t>A</w:t>
      </w:r>
      <w:r w:rsidRPr="00A16B12">
        <w:rPr>
          <w:noProof/>
        </w:rPr>
        <w:t>pproximately</w:t>
      </w:r>
      <w:r w:rsidR="001A42F8" w:rsidRPr="00A16B12">
        <w:rPr>
          <w:noProof/>
        </w:rPr>
        <w:t xml:space="preserve"> </w:t>
      </w:r>
      <w:r w:rsidR="004D097F" w:rsidRPr="00A16B12">
        <w:rPr>
          <w:noProof/>
        </w:rPr>
        <w:t>28</w:t>
      </w:r>
      <w:r w:rsidR="001A42F8" w:rsidRPr="00A16B12">
        <w:rPr>
          <w:noProof/>
        </w:rPr>
        <w:t>%</w:t>
      </w:r>
      <w:r w:rsidRPr="00A16B12" w:rsidDel="001A42F8">
        <w:rPr>
          <w:noProof/>
        </w:rPr>
        <w:t xml:space="preserve"> </w:t>
      </w:r>
      <w:r w:rsidRPr="009B5E11">
        <w:rPr>
          <w:noProof/>
        </w:rPr>
        <w:t xml:space="preserve">of </w:t>
      </w:r>
      <w:r w:rsidR="00F10D3D" w:rsidRPr="009B5E11">
        <w:rPr>
          <w:noProof/>
        </w:rPr>
        <w:t xml:space="preserve">FSR </w:t>
      </w:r>
      <w:r w:rsidR="00F10D3D">
        <w:rPr>
          <w:noProof/>
        </w:rPr>
        <w:t xml:space="preserve">concentration </w:t>
      </w:r>
      <w:r w:rsidR="00F10D3D" w:rsidRPr="009B5E11">
        <w:rPr>
          <w:noProof/>
        </w:rPr>
        <w:t>cases</w:t>
      </w:r>
      <w:r w:rsidRPr="009B5E11">
        <w:rPr>
          <w:noProof/>
        </w:rPr>
        <w:t xml:space="preserve"> were also subject to at least one FDI screening procedure notified </w:t>
      </w:r>
      <w:r w:rsidR="001F60E4">
        <w:rPr>
          <w:noProof/>
        </w:rPr>
        <w:t>by a Member State</w:t>
      </w:r>
      <w:r w:rsidRPr="009B5E11">
        <w:rPr>
          <w:noProof/>
        </w:rPr>
        <w:t xml:space="preserve"> to the Commission.</w:t>
      </w:r>
    </w:p>
    <w:p w14:paraId="3AC8EE86" w14:textId="292B1DD3" w:rsidR="0089167F" w:rsidRDefault="009B5E11" w:rsidP="004A1922">
      <w:pPr>
        <w:rPr>
          <w:noProof/>
        </w:rPr>
      </w:pPr>
      <w:r w:rsidRPr="009B5E11">
        <w:rPr>
          <w:noProof/>
        </w:rPr>
        <w:t xml:space="preserve">The FSR includes specific information obligations in relation to such cases. In particular, </w:t>
      </w:r>
      <w:r w:rsidR="00415A2C" w:rsidRPr="009B5E11">
        <w:rPr>
          <w:noProof/>
        </w:rPr>
        <w:t>Article</w:t>
      </w:r>
      <w:r w:rsidR="00415A2C">
        <w:rPr>
          <w:noProof/>
        </w:rPr>
        <w:t> </w:t>
      </w:r>
      <w:r w:rsidRPr="009B5E11">
        <w:rPr>
          <w:noProof/>
        </w:rPr>
        <w:t>10(2) and (4) FSR provide for the exchange of information</w:t>
      </w:r>
      <w:r w:rsidR="008C5957">
        <w:rPr>
          <w:noProof/>
        </w:rPr>
        <w:t xml:space="preserve"> with the respective Member State authorities</w:t>
      </w:r>
      <w:r w:rsidRPr="009B5E11">
        <w:rPr>
          <w:noProof/>
        </w:rPr>
        <w:t xml:space="preserve"> </w:t>
      </w:r>
      <w:r w:rsidR="00353C1A">
        <w:rPr>
          <w:noProof/>
        </w:rPr>
        <w:t>which have informed the Commission</w:t>
      </w:r>
      <w:r w:rsidR="0089167F">
        <w:rPr>
          <w:noProof/>
        </w:rPr>
        <w:t xml:space="preserve"> about a concurrent national FDI procedure.</w:t>
      </w:r>
    </w:p>
    <w:p w14:paraId="276FD3AA" w14:textId="0CD5C741" w:rsidR="009B5E11" w:rsidRPr="009B5E11" w:rsidRDefault="009B5E11" w:rsidP="004A1922">
      <w:pPr>
        <w:rPr>
          <w:noProof/>
        </w:rPr>
      </w:pPr>
      <w:r w:rsidRPr="009B5E11">
        <w:rPr>
          <w:noProof/>
        </w:rPr>
        <w:t>While FDI screening focuses on risks to</w:t>
      </w:r>
      <w:r w:rsidR="0037432D">
        <w:rPr>
          <w:noProof/>
        </w:rPr>
        <w:t xml:space="preserve"> public</w:t>
      </w:r>
      <w:r w:rsidRPr="009B5E11">
        <w:rPr>
          <w:noProof/>
        </w:rPr>
        <w:t xml:space="preserve"> security </w:t>
      </w:r>
      <w:r w:rsidR="0037432D">
        <w:rPr>
          <w:noProof/>
        </w:rPr>
        <w:t>and</w:t>
      </w:r>
      <w:r w:rsidR="0037432D" w:rsidRPr="009B5E11">
        <w:rPr>
          <w:noProof/>
        </w:rPr>
        <w:t xml:space="preserve"> </w:t>
      </w:r>
      <w:r w:rsidRPr="009B5E11">
        <w:rPr>
          <w:noProof/>
        </w:rPr>
        <w:t>public order, the FSR addresses distortions of competition in the internal market</w:t>
      </w:r>
      <w:r w:rsidR="00415A2C">
        <w:rPr>
          <w:noProof/>
        </w:rPr>
        <w:t>.</w:t>
      </w:r>
      <w:r w:rsidRPr="009B5E11">
        <w:rPr>
          <w:noProof/>
        </w:rPr>
        <w:t xml:space="preserve"> </w:t>
      </w:r>
      <w:r w:rsidR="00415A2C">
        <w:rPr>
          <w:noProof/>
        </w:rPr>
        <w:t>T</w:t>
      </w:r>
      <w:r w:rsidRPr="009B5E11">
        <w:rPr>
          <w:noProof/>
        </w:rPr>
        <w:t xml:space="preserve">he two frameworks </w:t>
      </w:r>
      <w:r w:rsidR="0037432D">
        <w:rPr>
          <w:noProof/>
        </w:rPr>
        <w:t xml:space="preserve">therefore </w:t>
      </w:r>
      <w:r w:rsidRPr="009B5E11">
        <w:rPr>
          <w:noProof/>
        </w:rPr>
        <w:t>operate in parallel with distinct objectives.</w:t>
      </w:r>
    </w:p>
    <w:p w14:paraId="58F27DAE" w14:textId="318212AE" w:rsidR="00C97EEC" w:rsidRPr="001834D1" w:rsidRDefault="008F2624" w:rsidP="0B55DA10">
      <w:pPr>
        <w:pStyle w:val="Heading3"/>
        <w:rPr>
          <w:noProof/>
        </w:rPr>
      </w:pPr>
      <w:bookmarkStart w:id="25" w:name="_Toc234227845"/>
      <w:r w:rsidRPr="001834D1">
        <w:rPr>
          <w:noProof/>
        </w:rPr>
        <w:t xml:space="preserve">Interaction with </w:t>
      </w:r>
      <w:r w:rsidR="009D603E">
        <w:rPr>
          <w:noProof/>
        </w:rPr>
        <w:t xml:space="preserve">the </w:t>
      </w:r>
      <w:r w:rsidRPr="001834D1">
        <w:rPr>
          <w:noProof/>
        </w:rPr>
        <w:t>Public Procurement Directives</w:t>
      </w:r>
      <w:bookmarkEnd w:id="25"/>
    </w:p>
    <w:p w14:paraId="1F45C713" w14:textId="32326AAE" w:rsidR="0B55DA10" w:rsidRDefault="0B55DA10">
      <w:pPr>
        <w:rPr>
          <w:noProof/>
        </w:rPr>
      </w:pPr>
      <w:r w:rsidRPr="0B55DA10">
        <w:rPr>
          <w:noProof/>
        </w:rPr>
        <w:t xml:space="preserve">The interaction between the EU </w:t>
      </w:r>
      <w:r w:rsidR="007467E4">
        <w:rPr>
          <w:noProof/>
        </w:rPr>
        <w:t>p</w:t>
      </w:r>
      <w:r w:rsidRPr="0B55DA10">
        <w:rPr>
          <w:noProof/>
        </w:rPr>
        <w:t xml:space="preserve">ublic </w:t>
      </w:r>
      <w:r w:rsidR="007467E4">
        <w:rPr>
          <w:noProof/>
        </w:rPr>
        <w:t>p</w:t>
      </w:r>
      <w:r w:rsidRPr="0B55DA10">
        <w:rPr>
          <w:noProof/>
        </w:rPr>
        <w:t xml:space="preserve">rocurement </w:t>
      </w:r>
      <w:r w:rsidR="007467E4">
        <w:rPr>
          <w:noProof/>
        </w:rPr>
        <w:t>d</w:t>
      </w:r>
      <w:r w:rsidRPr="0B55DA10">
        <w:rPr>
          <w:noProof/>
        </w:rPr>
        <w:t xml:space="preserve">irectives (Directives 2014/23/EU, 2014/24/EU, and 2014/25/EU) and the FSR creates a ‘parallel track’ system where a single public procurement procedure is governed by two distinct legal frameworks. While EU public procurement rules govern the procedural conduct of the tender (selection, evaluation, and award) by the relevant contracting authority, the FSR introduces a mandatory </w:t>
      </w:r>
      <w:r w:rsidR="00471EC0">
        <w:rPr>
          <w:noProof/>
        </w:rPr>
        <w:t>screening mechanism for distortive FFCs</w:t>
      </w:r>
      <w:r w:rsidRPr="0B55DA10">
        <w:rPr>
          <w:noProof/>
        </w:rPr>
        <w:t xml:space="preserve"> </w:t>
      </w:r>
      <w:r w:rsidR="007467E4">
        <w:rPr>
          <w:noProof/>
        </w:rPr>
        <w:t xml:space="preserve">that is </w:t>
      </w:r>
      <w:r w:rsidRPr="0B55DA10">
        <w:rPr>
          <w:noProof/>
        </w:rPr>
        <w:t xml:space="preserve">managed exclusively by the Commission. Under this interaction, for large public procurement procedures, the contracting authority acts as a gateway, receiving submissions of </w:t>
      </w:r>
      <w:r w:rsidR="007467E4">
        <w:rPr>
          <w:noProof/>
        </w:rPr>
        <w:t>FFCs</w:t>
      </w:r>
      <w:r w:rsidRPr="0B55DA10">
        <w:rPr>
          <w:noProof/>
        </w:rPr>
        <w:t xml:space="preserve"> from </w:t>
      </w:r>
      <w:r w:rsidR="007D0F90">
        <w:rPr>
          <w:noProof/>
        </w:rPr>
        <w:t>economic operators</w:t>
      </w:r>
      <w:r w:rsidRPr="0B55DA10">
        <w:rPr>
          <w:noProof/>
        </w:rPr>
        <w:t xml:space="preserve"> and </w:t>
      </w:r>
      <w:r w:rsidR="007467E4">
        <w:rPr>
          <w:noProof/>
        </w:rPr>
        <w:t>sending</w:t>
      </w:r>
      <w:r w:rsidR="007467E4" w:rsidRPr="0B55DA10">
        <w:rPr>
          <w:noProof/>
        </w:rPr>
        <w:t xml:space="preserve"> </w:t>
      </w:r>
      <w:r w:rsidRPr="0B55DA10">
        <w:rPr>
          <w:noProof/>
        </w:rPr>
        <w:t>them to the Commission. Furthermore, the FSR imposes a ‘standstill obligation’: while the contracting authority can proceed with evaluating bids and identifying the ‘most economically advantageous tender’ under EU public procurement rules, the actual award of the contract is legally prohibited until the Commission has cleared the submission of an economic operator under the FSR. This creates a procedural dependency where the contract award can be vetoed by an FSR finding of a ‘distortive subsidy’, effectively making FSR cl</w:t>
      </w:r>
      <w:r w:rsidR="007467E4">
        <w:rPr>
          <w:noProof/>
        </w:rPr>
        <w:t>e</w:t>
      </w:r>
      <w:r w:rsidRPr="0B55DA10">
        <w:rPr>
          <w:noProof/>
        </w:rPr>
        <w:t>ar</w:t>
      </w:r>
      <w:r w:rsidR="007467E4">
        <w:rPr>
          <w:noProof/>
        </w:rPr>
        <w:t>a</w:t>
      </w:r>
      <w:r w:rsidRPr="0B55DA10">
        <w:rPr>
          <w:noProof/>
        </w:rPr>
        <w:t>nce a new condition for contract award in the EU internal market.</w:t>
      </w:r>
    </w:p>
    <w:p w14:paraId="5D2C8610" w14:textId="2A3EF01F" w:rsidR="009D603E" w:rsidRDefault="007467E4" w:rsidP="009D603E">
      <w:pPr>
        <w:rPr>
          <w:noProof/>
        </w:rPr>
      </w:pPr>
      <w:r>
        <w:rPr>
          <w:noProof/>
        </w:rPr>
        <w:t>Despite</w:t>
      </w:r>
      <w:r w:rsidRPr="0B55DA10">
        <w:rPr>
          <w:noProof/>
        </w:rPr>
        <w:t xml:space="preserve"> </w:t>
      </w:r>
      <w:r w:rsidR="0B55DA10" w:rsidRPr="0B55DA10">
        <w:rPr>
          <w:noProof/>
        </w:rPr>
        <w:t xml:space="preserve">the procedural overlap, the substantive assessments performed by contracting authorities and the Commission are distinct. The closest point of convergence lies in the Commission’s scrutiny of an ‘unduly advantageous tender’ and the contracting authority’s evaluation of an ‘abnormally low tender’ (under </w:t>
      </w:r>
      <w:r w:rsidR="00415A2C" w:rsidRPr="0B55DA10">
        <w:rPr>
          <w:noProof/>
        </w:rPr>
        <w:t>Article</w:t>
      </w:r>
      <w:r w:rsidR="00415A2C">
        <w:rPr>
          <w:noProof/>
        </w:rPr>
        <w:t> </w:t>
      </w:r>
      <w:r w:rsidR="0B55DA10" w:rsidRPr="0B55DA10">
        <w:rPr>
          <w:noProof/>
        </w:rPr>
        <w:t xml:space="preserve">69 of Directive 2014/24/EU). However, even these are governed by a different internal logic: the contracting authority focuses on operational viability, seeking to determine if a price is so low that the </w:t>
      </w:r>
      <w:r w:rsidR="007D0F90">
        <w:rPr>
          <w:noProof/>
        </w:rPr>
        <w:t>economic operator</w:t>
      </w:r>
      <w:r w:rsidR="0B55DA10" w:rsidRPr="0B55DA10">
        <w:rPr>
          <w:noProof/>
        </w:rPr>
        <w:t xml:space="preserve"> will be unable to execute the contract technically or financially. In contrast, the Commission’s assessment focuses on determining if a foreign subsidy enabled the economic operator to submit an offer that is ‘unduly advantageous’</w:t>
      </w:r>
      <w:r w:rsidR="00C3446C" w:rsidRPr="00C3446C">
        <w:rPr>
          <w:noProof/>
        </w:rPr>
        <w:t> (</w:t>
      </w:r>
      <w:r w:rsidR="00C3446C">
        <w:rPr>
          <w:rStyle w:val="FootnoteReference"/>
          <w:noProof/>
        </w:rPr>
        <w:footnoteReference w:id="25"/>
      </w:r>
      <w:r w:rsidR="00C3446C">
        <w:rPr>
          <w:noProof/>
        </w:rPr>
        <w:t>)</w:t>
      </w:r>
      <w:r w:rsidR="009D603E" w:rsidRPr="0B55DA10">
        <w:rPr>
          <w:noProof/>
        </w:rPr>
        <w:t>.</w:t>
      </w:r>
    </w:p>
    <w:p w14:paraId="179DA4E0" w14:textId="679879DD" w:rsidR="00904B54" w:rsidRPr="00904B54" w:rsidRDefault="00904B54" w:rsidP="00904B54">
      <w:pPr>
        <w:pStyle w:val="FootnoteText"/>
        <w:ind w:left="0" w:firstLine="0"/>
        <w:rPr>
          <w:noProof/>
          <w:sz w:val="24"/>
          <w:szCs w:val="24"/>
        </w:rPr>
      </w:pPr>
      <w:r>
        <w:rPr>
          <w:noProof/>
          <w:sz w:val="24"/>
          <w:szCs w:val="24"/>
        </w:rPr>
        <w:t xml:space="preserve">The considerations discussed in relation to the interaction between FSR and the public procurement directives apply also to the interaction between the FSR and the </w:t>
      </w:r>
      <w:r w:rsidRPr="00C04BC0">
        <w:rPr>
          <w:noProof/>
          <w:sz w:val="24"/>
          <w:szCs w:val="24"/>
        </w:rPr>
        <w:t>Regulation (EU, Euratom) 2024/2509 of the European Parliament and of the Council of 23 September 2024 on the financial rules applicable to the general budget of the Union (recast) (the ‘Financial Regulation’)</w:t>
      </w:r>
      <w:r>
        <w:rPr>
          <w:noProof/>
          <w:sz w:val="24"/>
          <w:szCs w:val="24"/>
        </w:rPr>
        <w:t xml:space="preserve">. This results from </w:t>
      </w:r>
      <w:r w:rsidRPr="005C697D">
        <w:rPr>
          <w:noProof/>
          <w:sz w:val="24"/>
          <w:szCs w:val="24"/>
        </w:rPr>
        <w:t xml:space="preserve">Article 143(e) of the Financial Regulation, </w:t>
      </w:r>
      <w:r>
        <w:rPr>
          <w:noProof/>
          <w:sz w:val="24"/>
          <w:szCs w:val="24"/>
        </w:rPr>
        <w:t xml:space="preserve">which </w:t>
      </w:r>
      <w:r w:rsidRPr="005C697D">
        <w:rPr>
          <w:noProof/>
          <w:sz w:val="24"/>
          <w:szCs w:val="24"/>
        </w:rPr>
        <w:t>extends the application of FSR to public procurement procedures initiated by entities falling under the Financial Regulation the estimated value of which reaches EUR 250 million.</w:t>
      </w:r>
    </w:p>
    <w:p w14:paraId="57CDC656" w14:textId="23A7D9B3" w:rsidR="00B11396" w:rsidRDefault="008C7584" w:rsidP="00093BF9">
      <w:pPr>
        <w:pStyle w:val="Heading1"/>
        <w:rPr>
          <w:noProof/>
        </w:rPr>
      </w:pPr>
      <w:bookmarkStart w:id="26" w:name="_Ref227150705"/>
      <w:bookmarkStart w:id="27" w:name="_Toc234227846"/>
      <w:r w:rsidRPr="00093BF9">
        <w:rPr>
          <w:noProof/>
        </w:rPr>
        <w:t>PREPARATION</w:t>
      </w:r>
      <w:r>
        <w:rPr>
          <w:noProof/>
        </w:rPr>
        <w:t xml:space="preserve"> OF</w:t>
      </w:r>
      <w:r w:rsidR="00B11396">
        <w:rPr>
          <w:noProof/>
        </w:rPr>
        <w:t xml:space="preserve"> THE RE</w:t>
      </w:r>
      <w:r w:rsidR="00D8555D">
        <w:rPr>
          <w:noProof/>
        </w:rPr>
        <w:t>PORT</w:t>
      </w:r>
      <w:bookmarkEnd w:id="26"/>
      <w:bookmarkEnd w:id="27"/>
      <w:r w:rsidR="001E2B38">
        <w:rPr>
          <w:noProof/>
        </w:rPr>
        <w:t xml:space="preserve"> </w:t>
      </w:r>
    </w:p>
    <w:p w14:paraId="18BE0907" w14:textId="77777777" w:rsidR="00C97EEC" w:rsidRDefault="008C7584" w:rsidP="00093BF9">
      <w:pPr>
        <w:pStyle w:val="Heading2"/>
        <w:rPr>
          <w:noProof/>
        </w:rPr>
      </w:pPr>
      <w:bookmarkStart w:id="28" w:name="_Toc234227847"/>
      <w:r w:rsidRPr="00093BF9">
        <w:rPr>
          <w:noProof/>
        </w:rPr>
        <w:t>Sources</w:t>
      </w:r>
      <w:r>
        <w:rPr>
          <w:noProof/>
        </w:rPr>
        <w:t xml:space="preserve"> of information</w:t>
      </w:r>
      <w:r w:rsidR="00D8555D">
        <w:rPr>
          <w:noProof/>
        </w:rPr>
        <w:t xml:space="preserve"> and workstreams</w:t>
      </w:r>
      <w:bookmarkEnd w:id="28"/>
    </w:p>
    <w:p w14:paraId="3AB5B57D" w14:textId="53DC37B1" w:rsidR="00242109" w:rsidRDefault="00242109" w:rsidP="004A1922">
      <w:pPr>
        <w:rPr>
          <w:noProof/>
        </w:rPr>
      </w:pPr>
      <w:bookmarkStart w:id="29" w:name="_Hlk228807437"/>
      <w:r>
        <w:rPr>
          <w:noProof/>
        </w:rPr>
        <w:t xml:space="preserve">To gather the evidence required for the </w:t>
      </w:r>
      <w:r w:rsidR="001E3372">
        <w:rPr>
          <w:noProof/>
        </w:rPr>
        <w:t>Report</w:t>
      </w:r>
      <w:r>
        <w:rPr>
          <w:noProof/>
        </w:rPr>
        <w:t>,</w:t>
      </w:r>
      <w:r w:rsidDel="00294B4A">
        <w:rPr>
          <w:noProof/>
        </w:rPr>
        <w:t xml:space="preserve"> </w:t>
      </w:r>
      <w:bookmarkEnd w:id="29"/>
      <w:r>
        <w:rPr>
          <w:noProof/>
        </w:rPr>
        <w:t xml:space="preserve">multiple </w:t>
      </w:r>
      <w:r w:rsidR="005F3439">
        <w:rPr>
          <w:noProof/>
        </w:rPr>
        <w:t xml:space="preserve">and complementary </w:t>
      </w:r>
      <w:r>
        <w:rPr>
          <w:noProof/>
        </w:rPr>
        <w:t>sources of information and parallel workstreams</w:t>
      </w:r>
      <w:r w:rsidR="00294B4A">
        <w:rPr>
          <w:noProof/>
        </w:rPr>
        <w:t xml:space="preserve"> have been considered: </w:t>
      </w:r>
    </w:p>
    <w:p w14:paraId="68004A1C" w14:textId="32448D35" w:rsidR="00242109" w:rsidRDefault="00242109" w:rsidP="004A1922">
      <w:pPr>
        <w:rPr>
          <w:noProof/>
        </w:rPr>
      </w:pPr>
      <w:r>
        <w:rPr>
          <w:noProof/>
        </w:rPr>
        <w:t xml:space="preserve">First, </w:t>
      </w:r>
      <w:bookmarkStart w:id="30" w:name="_Hlk228807476"/>
      <w:r w:rsidR="00415A2C">
        <w:rPr>
          <w:noProof/>
        </w:rPr>
        <w:t xml:space="preserve">the Commission commissioned </w:t>
      </w:r>
      <w:r>
        <w:rPr>
          <w:noProof/>
        </w:rPr>
        <w:t xml:space="preserve">an expert study from an external contractor under a Framework Contract for the provision of expert consultancy services and studies </w:t>
      </w:r>
      <w:bookmarkEnd w:id="30"/>
      <w:r>
        <w:rPr>
          <w:noProof/>
        </w:rPr>
        <w:t>(COMP/2023/OP/0017) (</w:t>
      </w:r>
      <w:bookmarkStart w:id="31" w:name="_Hlk228807453"/>
      <w:r>
        <w:rPr>
          <w:noProof/>
        </w:rPr>
        <w:t xml:space="preserve">the </w:t>
      </w:r>
      <w:r w:rsidR="00D92FD2">
        <w:rPr>
          <w:noProof/>
        </w:rPr>
        <w:t>‘</w:t>
      </w:r>
      <w:r>
        <w:rPr>
          <w:noProof/>
        </w:rPr>
        <w:t xml:space="preserve">FSR Review </w:t>
      </w:r>
      <w:bookmarkEnd w:id="31"/>
      <w:r>
        <w:rPr>
          <w:noProof/>
        </w:rPr>
        <w:t>Study</w:t>
      </w:r>
      <w:r w:rsidR="001238DC">
        <w:rPr>
          <w:noProof/>
        </w:rPr>
        <w:t>’</w:t>
      </w:r>
      <w:r>
        <w:rPr>
          <w:noProof/>
        </w:rPr>
        <w:t>)</w:t>
      </w:r>
      <w:r w:rsidR="003E2A8D" w:rsidRPr="003E2A8D">
        <w:rPr>
          <w:noProof/>
        </w:rPr>
        <w:t> (</w:t>
      </w:r>
      <w:r w:rsidR="003E2A8D">
        <w:rPr>
          <w:rStyle w:val="FootnoteReference"/>
          <w:noProof/>
        </w:rPr>
        <w:footnoteReference w:id="26"/>
      </w:r>
      <w:r w:rsidR="003E2A8D">
        <w:rPr>
          <w:noProof/>
        </w:rPr>
        <w:t>)</w:t>
      </w:r>
      <w:r w:rsidR="00D92FD2">
        <w:rPr>
          <w:noProof/>
        </w:rPr>
        <w:t>.</w:t>
      </w:r>
    </w:p>
    <w:p w14:paraId="6E27FBDF" w14:textId="1915FB73" w:rsidR="00242109" w:rsidRDefault="00242109" w:rsidP="004A1922">
      <w:pPr>
        <w:rPr>
          <w:noProof/>
        </w:rPr>
      </w:pPr>
      <w:r>
        <w:rPr>
          <w:noProof/>
        </w:rPr>
        <w:t xml:space="preserve">Second, </w:t>
      </w:r>
      <w:r w:rsidDel="00294B4A">
        <w:rPr>
          <w:noProof/>
        </w:rPr>
        <w:t xml:space="preserve">the </w:t>
      </w:r>
      <w:bookmarkStart w:id="32" w:name="_Hlk228807490"/>
      <w:r w:rsidDel="00294B4A">
        <w:rPr>
          <w:noProof/>
        </w:rPr>
        <w:t xml:space="preserve">Commission </w:t>
      </w:r>
      <w:r w:rsidR="00294B4A">
        <w:rPr>
          <w:noProof/>
        </w:rPr>
        <w:t xml:space="preserve">collected </w:t>
      </w:r>
      <w:r w:rsidR="00415A2C">
        <w:rPr>
          <w:noProof/>
        </w:rPr>
        <w:t xml:space="preserve">input </w:t>
      </w:r>
      <w:r>
        <w:rPr>
          <w:noProof/>
        </w:rPr>
        <w:t xml:space="preserve">from external stakeholders through a public consultation, comprising a </w:t>
      </w:r>
      <w:r w:rsidR="00AD76AF">
        <w:rPr>
          <w:noProof/>
        </w:rPr>
        <w:t>c</w:t>
      </w:r>
      <w:r>
        <w:rPr>
          <w:noProof/>
        </w:rPr>
        <w:t xml:space="preserve">all for </w:t>
      </w:r>
      <w:r w:rsidR="00AD76AF">
        <w:rPr>
          <w:noProof/>
        </w:rPr>
        <w:t>e</w:t>
      </w:r>
      <w:r>
        <w:rPr>
          <w:noProof/>
        </w:rPr>
        <w:t>vidence</w:t>
      </w:r>
      <w:r w:rsidR="0011797E">
        <w:rPr>
          <w:noProof/>
        </w:rPr>
        <w:t>,</w:t>
      </w:r>
      <w:r>
        <w:rPr>
          <w:noProof/>
        </w:rPr>
        <w:t xml:space="preserve"> and an EU Survey questionnaire</w:t>
      </w:r>
      <w:r w:rsidR="00B03D39">
        <w:rPr>
          <w:noProof/>
        </w:rPr>
        <w:t xml:space="preserve"> (the </w:t>
      </w:r>
      <w:r w:rsidR="001238DC">
        <w:rPr>
          <w:noProof/>
        </w:rPr>
        <w:t>‘</w:t>
      </w:r>
      <w:r w:rsidR="00866207">
        <w:rPr>
          <w:noProof/>
        </w:rPr>
        <w:t xml:space="preserve">FSR Review </w:t>
      </w:r>
      <w:r w:rsidR="00D92FD2">
        <w:rPr>
          <w:noProof/>
        </w:rPr>
        <w:t>‘</w:t>
      </w:r>
      <w:r w:rsidR="00AD76AF">
        <w:rPr>
          <w:noProof/>
        </w:rPr>
        <w:t>p</w:t>
      </w:r>
      <w:r w:rsidR="00B03D39">
        <w:rPr>
          <w:noProof/>
        </w:rPr>
        <w:t xml:space="preserve">ublic </w:t>
      </w:r>
      <w:r w:rsidR="00AD76AF">
        <w:rPr>
          <w:noProof/>
        </w:rPr>
        <w:t>c</w:t>
      </w:r>
      <w:r w:rsidR="00B03D39">
        <w:rPr>
          <w:noProof/>
        </w:rPr>
        <w:t>onsultation</w:t>
      </w:r>
      <w:bookmarkEnd w:id="32"/>
      <w:r w:rsidR="001238DC">
        <w:rPr>
          <w:noProof/>
        </w:rPr>
        <w:t>’</w:t>
      </w:r>
      <w:r w:rsidR="00B03D39">
        <w:rPr>
          <w:noProof/>
        </w:rPr>
        <w:t>)</w:t>
      </w:r>
      <w:r>
        <w:rPr>
          <w:noProof/>
        </w:rPr>
        <w:t xml:space="preserve">. </w:t>
      </w:r>
    </w:p>
    <w:p w14:paraId="1A92B4E7" w14:textId="5BC62868" w:rsidR="00242109" w:rsidRDefault="00242109" w:rsidP="004A1922">
      <w:pPr>
        <w:rPr>
          <w:noProof/>
        </w:rPr>
      </w:pPr>
      <w:r>
        <w:rPr>
          <w:noProof/>
        </w:rPr>
        <w:t xml:space="preserve">Third, </w:t>
      </w:r>
      <w:bookmarkStart w:id="33" w:name="_Hlk228807507"/>
      <w:r w:rsidDel="00294B4A">
        <w:rPr>
          <w:noProof/>
        </w:rPr>
        <w:t xml:space="preserve">the Commission </w:t>
      </w:r>
      <w:r w:rsidR="00415A2C">
        <w:rPr>
          <w:noProof/>
        </w:rPr>
        <w:t xml:space="preserve">services conducted </w:t>
      </w:r>
      <w:r w:rsidR="00DC2280">
        <w:rPr>
          <w:noProof/>
        </w:rPr>
        <w:t xml:space="preserve">an internal review of </w:t>
      </w:r>
      <w:r w:rsidR="00415A2C">
        <w:rPr>
          <w:noProof/>
        </w:rPr>
        <w:t>their</w:t>
      </w:r>
      <w:r w:rsidR="00294B4A">
        <w:rPr>
          <w:noProof/>
        </w:rPr>
        <w:t xml:space="preserve"> </w:t>
      </w:r>
      <w:r w:rsidR="00DC2280">
        <w:rPr>
          <w:noProof/>
        </w:rPr>
        <w:t>own practice</w:t>
      </w:r>
      <w:r w:rsidR="00912376">
        <w:rPr>
          <w:noProof/>
        </w:rPr>
        <w:t xml:space="preserve">, </w:t>
      </w:r>
      <w:r>
        <w:rPr>
          <w:noProof/>
        </w:rPr>
        <w:t>collect</w:t>
      </w:r>
      <w:r w:rsidR="00912376">
        <w:rPr>
          <w:noProof/>
        </w:rPr>
        <w:t xml:space="preserve">ing </w:t>
      </w:r>
      <w:r w:rsidR="0089167F">
        <w:rPr>
          <w:noProof/>
        </w:rPr>
        <w:t xml:space="preserve">feedback from case teams engaged in the enforcement of the FSR </w:t>
      </w:r>
      <w:r>
        <w:rPr>
          <w:noProof/>
        </w:rPr>
        <w:t>and analys</w:t>
      </w:r>
      <w:r w:rsidR="00912376">
        <w:rPr>
          <w:noProof/>
        </w:rPr>
        <w:t>ing</w:t>
      </w:r>
      <w:r>
        <w:rPr>
          <w:noProof/>
        </w:rPr>
        <w:t xml:space="preserve"> </w:t>
      </w:r>
      <w:r w:rsidR="0011797E">
        <w:rPr>
          <w:noProof/>
        </w:rPr>
        <w:t xml:space="preserve">collected </w:t>
      </w:r>
      <w:r>
        <w:rPr>
          <w:noProof/>
        </w:rPr>
        <w:t xml:space="preserve">data </w:t>
      </w:r>
      <w:r w:rsidR="00912376">
        <w:rPr>
          <w:noProof/>
        </w:rPr>
        <w:t xml:space="preserve">and experience </w:t>
      </w:r>
      <w:r>
        <w:rPr>
          <w:noProof/>
        </w:rPr>
        <w:t>on its enforcement practice, drawing on artificial intelligence tools and a manual review of case files</w:t>
      </w:r>
      <w:r w:rsidR="00B03D39">
        <w:rPr>
          <w:noProof/>
        </w:rPr>
        <w:t xml:space="preserve"> (the </w:t>
      </w:r>
      <w:bookmarkEnd w:id="33"/>
      <w:r w:rsidR="001238DC">
        <w:rPr>
          <w:noProof/>
        </w:rPr>
        <w:t>‘</w:t>
      </w:r>
      <w:r w:rsidR="005D242D">
        <w:rPr>
          <w:noProof/>
        </w:rPr>
        <w:t xml:space="preserve">Commission’s </w:t>
      </w:r>
      <w:r w:rsidR="00866207">
        <w:rPr>
          <w:noProof/>
        </w:rPr>
        <w:t>i</w:t>
      </w:r>
      <w:r w:rsidR="00B03D39">
        <w:rPr>
          <w:noProof/>
        </w:rPr>
        <w:t xml:space="preserve">nternal </w:t>
      </w:r>
      <w:r w:rsidR="005D242D">
        <w:rPr>
          <w:noProof/>
        </w:rPr>
        <w:t>FSR review</w:t>
      </w:r>
      <w:r w:rsidR="001238DC">
        <w:rPr>
          <w:noProof/>
        </w:rPr>
        <w:t>’</w:t>
      </w:r>
      <w:r w:rsidR="00B03D39">
        <w:rPr>
          <w:noProof/>
        </w:rPr>
        <w:t>)</w:t>
      </w:r>
      <w:r>
        <w:rPr>
          <w:noProof/>
        </w:rPr>
        <w:t>.</w:t>
      </w:r>
    </w:p>
    <w:p w14:paraId="2C8DE6C2" w14:textId="5F4D3C66" w:rsidR="006A5605" w:rsidRDefault="00242109" w:rsidP="00093BF9">
      <w:pPr>
        <w:pStyle w:val="Heading2"/>
        <w:rPr>
          <w:noProof/>
        </w:rPr>
      </w:pPr>
      <w:bookmarkStart w:id="34" w:name="_Toc234227848"/>
      <w:r w:rsidRPr="00093BF9">
        <w:rPr>
          <w:noProof/>
        </w:rPr>
        <w:t>Scope</w:t>
      </w:r>
      <w:r>
        <w:rPr>
          <w:noProof/>
        </w:rPr>
        <w:t xml:space="preserve"> and m</w:t>
      </w:r>
      <w:r w:rsidR="006A5605">
        <w:rPr>
          <w:noProof/>
        </w:rPr>
        <w:t xml:space="preserve">ethodology </w:t>
      </w:r>
      <w:r>
        <w:rPr>
          <w:noProof/>
        </w:rPr>
        <w:t>of</w:t>
      </w:r>
      <w:r w:rsidR="006A5605">
        <w:rPr>
          <w:noProof/>
        </w:rPr>
        <w:t xml:space="preserve"> the review</w:t>
      </w:r>
      <w:bookmarkEnd w:id="34"/>
    </w:p>
    <w:p w14:paraId="538B8EA7" w14:textId="3C84732A" w:rsidR="004F3F4A" w:rsidRPr="008D1CF2" w:rsidRDefault="004F3F4A" w:rsidP="004A1922">
      <w:pPr>
        <w:rPr>
          <w:noProof/>
          <w:lang w:eastAsia="zh-CN"/>
        </w:rPr>
      </w:pPr>
      <w:r w:rsidRPr="008D1CF2">
        <w:rPr>
          <w:noProof/>
          <w:lang w:eastAsia="zh-CN"/>
        </w:rPr>
        <w:t>The FSR Review Study provided an independent, evidence-based assessment of the functioning of the FSR, including a</w:t>
      </w:r>
      <w:r w:rsidR="008E4C6C">
        <w:rPr>
          <w:noProof/>
          <w:lang w:eastAsia="zh-CN"/>
        </w:rPr>
        <w:t xml:space="preserve">n </w:t>
      </w:r>
      <w:r w:rsidRPr="008D1CF2">
        <w:rPr>
          <w:noProof/>
          <w:lang w:eastAsia="zh-CN"/>
        </w:rPr>
        <w:t xml:space="preserve">analytical perspective on its enforcement. The </w:t>
      </w:r>
      <w:r w:rsidR="00AD76AF">
        <w:rPr>
          <w:noProof/>
          <w:lang w:eastAsia="zh-CN"/>
        </w:rPr>
        <w:t>p</w:t>
      </w:r>
      <w:r w:rsidRPr="008D1CF2">
        <w:rPr>
          <w:noProof/>
          <w:lang w:eastAsia="zh-CN"/>
        </w:rPr>
        <w:t xml:space="preserve">ublic </w:t>
      </w:r>
      <w:r w:rsidR="00AD76AF">
        <w:rPr>
          <w:noProof/>
          <w:lang w:eastAsia="zh-CN"/>
        </w:rPr>
        <w:t>c</w:t>
      </w:r>
      <w:r w:rsidRPr="008D1CF2">
        <w:rPr>
          <w:noProof/>
          <w:lang w:eastAsia="zh-CN"/>
        </w:rPr>
        <w:t xml:space="preserve">onsultation </w:t>
      </w:r>
      <w:r w:rsidR="00B1580F">
        <w:rPr>
          <w:noProof/>
          <w:lang w:eastAsia="zh-CN"/>
        </w:rPr>
        <w:t>allowed</w:t>
      </w:r>
      <w:r w:rsidRPr="008D1CF2">
        <w:rPr>
          <w:noProof/>
          <w:lang w:eastAsia="zh-CN"/>
        </w:rPr>
        <w:t xml:space="preserve"> the Commission to gather a broad range of views and factual information from stakeholders affected by the FSR, while </w:t>
      </w:r>
      <w:r w:rsidR="007A3981">
        <w:rPr>
          <w:noProof/>
          <w:lang w:eastAsia="zh-CN"/>
        </w:rPr>
        <w:t>target</w:t>
      </w:r>
      <w:r w:rsidRPr="008D1CF2">
        <w:rPr>
          <w:noProof/>
          <w:lang w:eastAsia="zh-CN"/>
        </w:rPr>
        <w:t>ed interviews allowed for a more in-depth examination of specific issues and practical experiences.</w:t>
      </w:r>
      <w:r w:rsidR="008E4C6C">
        <w:rPr>
          <w:noProof/>
          <w:lang w:eastAsia="zh-CN"/>
        </w:rPr>
        <w:t xml:space="preserve"> </w:t>
      </w:r>
      <w:r w:rsidR="00AF49F1">
        <w:rPr>
          <w:noProof/>
          <w:lang w:eastAsia="zh-CN"/>
        </w:rPr>
        <w:t xml:space="preserve">Based on the design and questions in the </w:t>
      </w:r>
      <w:r w:rsidR="00F72CE7">
        <w:rPr>
          <w:noProof/>
          <w:lang w:eastAsia="zh-CN"/>
        </w:rPr>
        <w:t xml:space="preserve">public consultation </w:t>
      </w:r>
      <w:r w:rsidR="00AF49F1">
        <w:rPr>
          <w:noProof/>
          <w:lang w:eastAsia="zh-CN"/>
        </w:rPr>
        <w:t xml:space="preserve">and the targeted interviews, the stakeholders’ views provided evidence regarding the main FSR concepts, thresholds for notifications and the scope of information to be reported in FSR </w:t>
      </w:r>
      <w:r w:rsidR="00B40B15">
        <w:rPr>
          <w:noProof/>
          <w:lang w:eastAsia="zh-CN"/>
        </w:rPr>
        <w:t>notifications</w:t>
      </w:r>
      <w:r w:rsidR="009C2FBB">
        <w:rPr>
          <w:noProof/>
          <w:lang w:eastAsia="zh-CN"/>
        </w:rPr>
        <w:t>, among others</w:t>
      </w:r>
      <w:r w:rsidR="00B40B15">
        <w:rPr>
          <w:noProof/>
          <w:lang w:eastAsia="zh-CN"/>
        </w:rPr>
        <w:t>.</w:t>
      </w:r>
      <w:r w:rsidR="00AF49F1">
        <w:rPr>
          <w:noProof/>
          <w:lang w:eastAsia="zh-CN"/>
        </w:rPr>
        <w:t xml:space="preserve"> </w:t>
      </w:r>
      <w:r w:rsidRPr="008D1CF2">
        <w:rPr>
          <w:noProof/>
          <w:lang w:eastAsia="zh-CN"/>
        </w:rPr>
        <w:t xml:space="preserve">The </w:t>
      </w:r>
      <w:r w:rsidRPr="008D1CF2" w:rsidDel="006749FF">
        <w:rPr>
          <w:noProof/>
          <w:lang w:eastAsia="zh-CN"/>
        </w:rPr>
        <w:t xml:space="preserve">internal </w:t>
      </w:r>
      <w:r w:rsidR="00415A2C">
        <w:rPr>
          <w:noProof/>
          <w:lang w:eastAsia="zh-CN"/>
        </w:rPr>
        <w:t>review</w:t>
      </w:r>
      <w:r w:rsidRPr="008D1CF2" w:rsidDel="006749FF">
        <w:rPr>
          <w:noProof/>
          <w:lang w:eastAsia="zh-CN"/>
        </w:rPr>
        <w:t xml:space="preserve"> </w:t>
      </w:r>
      <w:r w:rsidRPr="008D1CF2">
        <w:rPr>
          <w:noProof/>
          <w:lang w:eastAsia="zh-CN"/>
        </w:rPr>
        <w:t>offered operational insights into the day-to-day enforcement of the FSR, including challenges encountered in practice and potential areas for improvement or simplification. In parallel, the analysis of enforcement data supported a systematic assessment of trends, procedural aspects and outcomes across cases.</w:t>
      </w:r>
      <w:r w:rsidR="008E4C6C">
        <w:rPr>
          <w:noProof/>
          <w:lang w:eastAsia="zh-CN"/>
        </w:rPr>
        <w:t xml:space="preserve"> </w:t>
      </w:r>
    </w:p>
    <w:p w14:paraId="75715198" w14:textId="567B5ABC" w:rsidR="008C6C54" w:rsidRDefault="004F3F4A" w:rsidP="004A1922">
      <w:pPr>
        <w:rPr>
          <w:noProof/>
          <w:lang w:eastAsia="zh-CN"/>
        </w:rPr>
      </w:pPr>
      <w:r w:rsidRPr="008D1CF2">
        <w:rPr>
          <w:noProof/>
          <w:lang w:eastAsia="zh-CN"/>
        </w:rPr>
        <w:t xml:space="preserve">Taken together, these sources allowed the Commission to conduct a comprehensive review of the scope, effectiveness and practical implementation of the FSR, ensuring that the conclusions and options presented in this </w:t>
      </w:r>
      <w:r w:rsidR="00415A2C">
        <w:rPr>
          <w:noProof/>
          <w:lang w:eastAsia="zh-CN"/>
        </w:rPr>
        <w:t xml:space="preserve">SWD and the </w:t>
      </w:r>
      <w:r w:rsidRPr="008D1CF2">
        <w:rPr>
          <w:noProof/>
          <w:lang w:eastAsia="zh-CN"/>
        </w:rPr>
        <w:t>Report are grounded in a robust and balanced evidentiary basis.</w:t>
      </w:r>
    </w:p>
    <w:p w14:paraId="6707BB08" w14:textId="41A26E7D" w:rsidR="00242109" w:rsidRDefault="00242109" w:rsidP="00093BF9">
      <w:pPr>
        <w:pStyle w:val="Heading3"/>
        <w:rPr>
          <w:noProof/>
        </w:rPr>
      </w:pPr>
      <w:bookmarkStart w:id="35" w:name="_Ref227152808"/>
      <w:bookmarkStart w:id="36" w:name="_Toc234227849"/>
      <w:bookmarkStart w:id="37" w:name="_Hlk225518069"/>
      <w:r>
        <w:rPr>
          <w:noProof/>
        </w:rPr>
        <w:t xml:space="preserve">The FSR </w:t>
      </w:r>
      <w:r w:rsidRPr="00093BF9">
        <w:rPr>
          <w:noProof/>
        </w:rPr>
        <w:t>Review</w:t>
      </w:r>
      <w:r>
        <w:rPr>
          <w:noProof/>
        </w:rPr>
        <w:t xml:space="preserve"> Study</w:t>
      </w:r>
      <w:bookmarkEnd w:id="35"/>
      <w:bookmarkEnd w:id="36"/>
    </w:p>
    <w:bookmarkEnd w:id="37"/>
    <w:p w14:paraId="6E157E2D" w14:textId="44A323D4" w:rsidR="003E2A8D" w:rsidRDefault="00AC14AF" w:rsidP="004A1922">
      <w:pPr>
        <w:rPr>
          <w:noProof/>
        </w:rPr>
      </w:pPr>
      <w:r>
        <w:rPr>
          <w:noProof/>
        </w:rPr>
        <w:t xml:space="preserve">The FSR Review Study was </w:t>
      </w:r>
      <w:r w:rsidR="00FB2F78">
        <w:rPr>
          <w:noProof/>
        </w:rPr>
        <w:t>prepared</w:t>
      </w:r>
      <w:r>
        <w:rPr>
          <w:noProof/>
        </w:rPr>
        <w:t xml:space="preserve"> by </w:t>
      </w:r>
      <w:r w:rsidR="003E2A8D">
        <w:rPr>
          <w:noProof/>
        </w:rPr>
        <w:t>London Economics (</w:t>
      </w:r>
      <w:r w:rsidR="001238DC">
        <w:rPr>
          <w:noProof/>
        </w:rPr>
        <w:t>‘</w:t>
      </w:r>
      <w:r w:rsidR="003E2A8D">
        <w:rPr>
          <w:noProof/>
        </w:rPr>
        <w:t>LE</w:t>
      </w:r>
      <w:r w:rsidR="001238DC">
        <w:rPr>
          <w:noProof/>
        </w:rPr>
        <w:t>’</w:t>
      </w:r>
      <w:r w:rsidR="003E2A8D">
        <w:rPr>
          <w:noProof/>
        </w:rPr>
        <w:t>) Europe</w:t>
      </w:r>
      <w:r>
        <w:rPr>
          <w:noProof/>
        </w:rPr>
        <w:t>,</w:t>
      </w:r>
      <w:r w:rsidR="003E2A8D">
        <w:rPr>
          <w:noProof/>
        </w:rPr>
        <w:t xml:space="preserve"> a </w:t>
      </w:r>
      <w:r w:rsidR="005654E0">
        <w:rPr>
          <w:noProof/>
        </w:rPr>
        <w:t>s</w:t>
      </w:r>
      <w:r w:rsidR="003E2A8D">
        <w:rPr>
          <w:noProof/>
        </w:rPr>
        <w:t>pecialist economics and policy consultancy</w:t>
      </w:r>
      <w:r>
        <w:rPr>
          <w:noProof/>
        </w:rPr>
        <w:t xml:space="preserve">, together with </w:t>
      </w:r>
      <w:r w:rsidR="000E2371">
        <w:rPr>
          <w:noProof/>
        </w:rPr>
        <w:t xml:space="preserve">data+law and </w:t>
      </w:r>
      <w:r w:rsidR="000E2371" w:rsidRPr="000E2371">
        <w:rPr>
          <w:noProof/>
        </w:rPr>
        <w:t>Ass</w:t>
      </w:r>
      <w:r w:rsidR="00595ACB">
        <w:rPr>
          <w:noProof/>
        </w:rPr>
        <w:t>ociated</w:t>
      </w:r>
      <w:r w:rsidR="000E2371" w:rsidRPr="000E2371">
        <w:rPr>
          <w:noProof/>
        </w:rPr>
        <w:t>-Prof</w:t>
      </w:r>
      <w:r w:rsidR="00595ACB">
        <w:rPr>
          <w:noProof/>
        </w:rPr>
        <w:t>essor</w:t>
      </w:r>
      <w:r w:rsidR="000E2371" w:rsidRPr="000E2371">
        <w:rPr>
          <w:noProof/>
        </w:rPr>
        <w:t xml:space="preserve"> </w:t>
      </w:r>
      <w:r w:rsidR="00415A2C" w:rsidRPr="000E2371">
        <w:rPr>
          <w:noProof/>
        </w:rPr>
        <w:t>Dr</w:t>
      </w:r>
      <w:r w:rsidR="00415A2C">
        <w:rPr>
          <w:noProof/>
        </w:rPr>
        <w:t> </w:t>
      </w:r>
      <w:r w:rsidR="000E2371" w:rsidRPr="000E2371">
        <w:rPr>
          <w:noProof/>
        </w:rPr>
        <w:t>Lena Hornkoh</w:t>
      </w:r>
      <w:r w:rsidR="00AB0C50">
        <w:rPr>
          <w:noProof/>
        </w:rPr>
        <w:t>l</w:t>
      </w:r>
      <w:r w:rsidR="003E2A8D">
        <w:rPr>
          <w:noProof/>
        </w:rPr>
        <w:t xml:space="preserve">. The study </w:t>
      </w:r>
      <w:r w:rsidR="00415A2C">
        <w:rPr>
          <w:noProof/>
        </w:rPr>
        <w:t xml:space="preserve">started </w:t>
      </w:r>
      <w:r w:rsidR="003E2A8D">
        <w:rPr>
          <w:noProof/>
        </w:rPr>
        <w:t xml:space="preserve">in June 2025 and </w:t>
      </w:r>
      <w:r w:rsidR="00AD76AF">
        <w:rPr>
          <w:noProof/>
        </w:rPr>
        <w:t>lasted</w:t>
      </w:r>
      <w:r w:rsidR="003E2A8D">
        <w:rPr>
          <w:noProof/>
        </w:rPr>
        <w:t xml:space="preserve"> </w:t>
      </w:r>
      <w:r w:rsidR="00415A2C">
        <w:rPr>
          <w:noProof/>
        </w:rPr>
        <w:t xml:space="preserve">for </w:t>
      </w:r>
      <w:r w:rsidR="003E2A8D">
        <w:rPr>
          <w:noProof/>
        </w:rPr>
        <w:t>six months</w:t>
      </w:r>
      <w:r w:rsidR="004A1855">
        <w:rPr>
          <w:noProof/>
        </w:rPr>
        <w:t>.</w:t>
      </w:r>
      <w:r w:rsidR="00A66475">
        <w:rPr>
          <w:noProof/>
        </w:rPr>
        <w:t xml:space="preserve"> </w:t>
      </w:r>
      <w:r w:rsidR="007B68A2">
        <w:rPr>
          <w:noProof/>
        </w:rPr>
        <w:t>I</w:t>
      </w:r>
      <w:r w:rsidR="00A66475">
        <w:rPr>
          <w:noProof/>
        </w:rPr>
        <w:t>t</w:t>
      </w:r>
      <w:r w:rsidR="0017245F">
        <w:rPr>
          <w:noProof/>
        </w:rPr>
        <w:t xml:space="preserve"> </w:t>
      </w:r>
      <w:r w:rsidR="003E2A8D">
        <w:rPr>
          <w:noProof/>
        </w:rPr>
        <w:t>covers the period from October 2023 to June 2025.</w:t>
      </w:r>
      <w:r w:rsidR="00DD5653">
        <w:rPr>
          <w:noProof/>
        </w:rPr>
        <w:t xml:space="preserve"> The FSR Review Study is included in Annex I.</w:t>
      </w:r>
    </w:p>
    <w:p w14:paraId="72FE8F34" w14:textId="5C1001F1" w:rsidR="003E2A8D" w:rsidRDefault="003E2A8D" w:rsidP="004A1922">
      <w:pPr>
        <w:rPr>
          <w:noProof/>
        </w:rPr>
      </w:pPr>
      <w:r>
        <w:rPr>
          <w:noProof/>
        </w:rPr>
        <w:t xml:space="preserve">The analysis carried out in the FSR Review Study consists of three main </w:t>
      </w:r>
      <w:r w:rsidR="00A66475">
        <w:rPr>
          <w:noProof/>
        </w:rPr>
        <w:t>sections</w:t>
      </w:r>
      <w:r>
        <w:rPr>
          <w:noProof/>
        </w:rPr>
        <w:t>: (i</w:t>
      </w:r>
      <w:r w:rsidR="006C5C34">
        <w:rPr>
          <w:noProof/>
        </w:rPr>
        <w:t>) </w:t>
      </w:r>
      <w:r>
        <w:rPr>
          <w:noProof/>
        </w:rPr>
        <w:t>a survey of legal practitioners and contracting authorities on their experience with the FSR and potential simplification measures; (ii</w:t>
      </w:r>
      <w:r w:rsidR="006C5C34">
        <w:rPr>
          <w:noProof/>
        </w:rPr>
        <w:t>) </w:t>
      </w:r>
      <w:r>
        <w:rPr>
          <w:noProof/>
        </w:rPr>
        <w:t>an analysis of the Commission’s case practice; and (iii</w:t>
      </w:r>
      <w:r w:rsidR="006C5C34">
        <w:rPr>
          <w:noProof/>
        </w:rPr>
        <w:t>) </w:t>
      </w:r>
      <w:r>
        <w:rPr>
          <w:noProof/>
        </w:rPr>
        <w:t>a review of developments in international relations concerning third countries’ subsidy control systems.</w:t>
      </w:r>
    </w:p>
    <w:p w14:paraId="0621E8BB" w14:textId="77777777" w:rsidR="008C6C54" w:rsidRPr="00750DE1" w:rsidRDefault="008C6C54" w:rsidP="00807C9E">
      <w:pPr>
        <w:pStyle w:val="ContNumLevel3"/>
        <w:rPr>
          <w:noProof/>
          <w:lang w:val="en-US"/>
        </w:rPr>
      </w:pPr>
      <w:bookmarkStart w:id="38" w:name="_Hlk225518057"/>
      <w:r w:rsidRPr="00AC14AF">
        <w:rPr>
          <w:noProof/>
        </w:rPr>
        <w:t xml:space="preserve">Survey of legal practitioners </w:t>
      </w:r>
      <w:bookmarkEnd w:id="38"/>
      <w:r w:rsidRPr="00AC14AF">
        <w:rPr>
          <w:noProof/>
        </w:rPr>
        <w:t>and contracting authorities</w:t>
      </w:r>
      <w:r w:rsidRPr="00750DE1">
        <w:rPr>
          <w:noProof/>
          <w:lang w:val="en-US"/>
        </w:rPr>
        <w:t xml:space="preserve"> </w:t>
      </w:r>
    </w:p>
    <w:p w14:paraId="5DEA0C59" w14:textId="640C44BE" w:rsidR="008C6C54" w:rsidRDefault="008C6C54" w:rsidP="004A1922">
      <w:pPr>
        <w:rPr>
          <w:noProof/>
        </w:rPr>
      </w:pPr>
      <w:r>
        <w:rPr>
          <w:noProof/>
        </w:rPr>
        <w:t xml:space="preserve">This </w:t>
      </w:r>
      <w:r w:rsidR="00A66475">
        <w:rPr>
          <w:noProof/>
        </w:rPr>
        <w:t xml:space="preserve">section </w:t>
      </w:r>
      <w:r w:rsidR="00170D15">
        <w:rPr>
          <w:noProof/>
        </w:rPr>
        <w:t xml:space="preserve">examines </w:t>
      </w:r>
      <w:r>
        <w:rPr>
          <w:noProof/>
        </w:rPr>
        <w:t>stakeholders’ experience with the application of the FSR, drawing on surveys of legal practitioners</w:t>
      </w:r>
      <w:r w:rsidR="00883258">
        <w:rPr>
          <w:noProof/>
        </w:rPr>
        <w:t xml:space="preserve"> (the </w:t>
      </w:r>
      <w:r w:rsidR="001238DC">
        <w:rPr>
          <w:noProof/>
        </w:rPr>
        <w:t>‘</w:t>
      </w:r>
      <w:r w:rsidR="00697EAC">
        <w:rPr>
          <w:noProof/>
        </w:rPr>
        <w:t xml:space="preserve">FSR </w:t>
      </w:r>
      <w:bookmarkStart w:id="39" w:name="_Hlk231811626"/>
      <w:r w:rsidR="007D30DF">
        <w:rPr>
          <w:noProof/>
        </w:rPr>
        <w:t>P</w:t>
      </w:r>
      <w:r w:rsidR="007D30DF" w:rsidRPr="00B43ED6">
        <w:rPr>
          <w:noProof/>
        </w:rPr>
        <w:t xml:space="preserve">ractitioners’ </w:t>
      </w:r>
      <w:r w:rsidR="00AD76AF">
        <w:rPr>
          <w:noProof/>
        </w:rPr>
        <w:t>S</w:t>
      </w:r>
      <w:r w:rsidR="007D30DF" w:rsidRPr="00B43ED6">
        <w:rPr>
          <w:noProof/>
        </w:rPr>
        <w:t>urvey</w:t>
      </w:r>
      <w:bookmarkEnd w:id="39"/>
      <w:r w:rsidR="001238DC">
        <w:rPr>
          <w:noProof/>
        </w:rPr>
        <w:t>’</w:t>
      </w:r>
      <w:r w:rsidR="00883258">
        <w:rPr>
          <w:noProof/>
        </w:rPr>
        <w:t>)</w:t>
      </w:r>
      <w:r>
        <w:rPr>
          <w:noProof/>
        </w:rPr>
        <w:t xml:space="preserve"> and contracting authorities</w:t>
      </w:r>
      <w:r w:rsidR="00170D15">
        <w:rPr>
          <w:noProof/>
        </w:rPr>
        <w:t xml:space="preserve"> of EU Member States</w:t>
      </w:r>
      <w:r>
        <w:rPr>
          <w:noProof/>
        </w:rPr>
        <w:t xml:space="preserve">. It assesses how the FSR operates in practice, identifies compliance frictions, and explores possible avenues for simplification. </w:t>
      </w:r>
    </w:p>
    <w:p w14:paraId="6854785D" w14:textId="17BBBD72" w:rsidR="008C6C54" w:rsidRDefault="00414225" w:rsidP="004A1922">
      <w:pPr>
        <w:rPr>
          <w:noProof/>
        </w:rPr>
      </w:pPr>
      <w:r w:rsidRPr="00414225">
        <w:rPr>
          <w:noProof/>
        </w:rPr>
        <w:t xml:space="preserve">The </w:t>
      </w:r>
      <w:r w:rsidR="009069A2">
        <w:rPr>
          <w:noProof/>
        </w:rPr>
        <w:t>P</w:t>
      </w:r>
      <w:r w:rsidR="00883258" w:rsidRPr="00883258">
        <w:rPr>
          <w:noProof/>
        </w:rPr>
        <w:t xml:space="preserve">ractitioners’ </w:t>
      </w:r>
      <w:r w:rsidR="004E0941">
        <w:rPr>
          <w:noProof/>
        </w:rPr>
        <w:t>S</w:t>
      </w:r>
      <w:r w:rsidR="00883258" w:rsidRPr="00883258">
        <w:rPr>
          <w:noProof/>
        </w:rPr>
        <w:t>urvey</w:t>
      </w:r>
      <w:r w:rsidR="00883258">
        <w:rPr>
          <w:noProof/>
        </w:rPr>
        <w:t xml:space="preserve"> </w:t>
      </w:r>
      <w:r w:rsidRPr="00414225">
        <w:rPr>
          <w:noProof/>
        </w:rPr>
        <w:t xml:space="preserve">was addressed to both practitioners with FSR experience in the concentration or the public procurement </w:t>
      </w:r>
      <w:r w:rsidR="00CC19C7">
        <w:rPr>
          <w:noProof/>
        </w:rPr>
        <w:t>procedure</w:t>
      </w:r>
      <w:r w:rsidR="006C5C34">
        <w:rPr>
          <w:noProof/>
        </w:rPr>
        <w:t>s</w:t>
      </w:r>
      <w:r w:rsidR="00A66475">
        <w:rPr>
          <w:noProof/>
        </w:rPr>
        <w:t xml:space="preserve"> </w:t>
      </w:r>
      <w:r w:rsidR="008C6C54">
        <w:rPr>
          <w:noProof/>
        </w:rPr>
        <w:t xml:space="preserve">across a wide range of sectors. </w:t>
      </w:r>
    </w:p>
    <w:p w14:paraId="7C32DBE3" w14:textId="11CEC043" w:rsidR="008C6C54" w:rsidRPr="00FB2F78" w:rsidRDefault="008C6C54" w:rsidP="00807C9E">
      <w:pPr>
        <w:pStyle w:val="ContNumLevel3"/>
        <w:rPr>
          <w:noProof/>
        </w:rPr>
      </w:pPr>
      <w:bookmarkStart w:id="40" w:name="_Ref227152795"/>
      <w:r w:rsidRPr="00FB2F78">
        <w:rPr>
          <w:noProof/>
        </w:rPr>
        <w:t>Analysis of the Commission’s case practice</w:t>
      </w:r>
      <w:bookmarkEnd w:id="40"/>
      <w:r w:rsidRPr="00FB2F78">
        <w:rPr>
          <w:noProof/>
        </w:rPr>
        <w:t xml:space="preserve"> </w:t>
      </w:r>
    </w:p>
    <w:p w14:paraId="1406C4E0" w14:textId="185F885F" w:rsidR="00FA2090" w:rsidRDefault="008C6C54" w:rsidP="004A1922">
      <w:pPr>
        <w:rPr>
          <w:noProof/>
        </w:rPr>
      </w:pPr>
      <w:r>
        <w:rPr>
          <w:noProof/>
        </w:rPr>
        <w:t>This section examines how the Commission has implemented and enforced the FSR in concentration and public procurement cases</w:t>
      </w:r>
      <w:r w:rsidDel="0089167F">
        <w:rPr>
          <w:noProof/>
        </w:rPr>
        <w:t xml:space="preserve">. </w:t>
      </w:r>
      <w:r w:rsidR="009A6C05">
        <w:rPr>
          <w:noProof/>
        </w:rPr>
        <w:t xml:space="preserve">It </w:t>
      </w:r>
      <w:r>
        <w:rPr>
          <w:noProof/>
        </w:rPr>
        <w:t>analys</w:t>
      </w:r>
      <w:r w:rsidR="009A6C05">
        <w:rPr>
          <w:noProof/>
        </w:rPr>
        <w:t>e</w:t>
      </w:r>
      <w:r>
        <w:rPr>
          <w:noProof/>
        </w:rPr>
        <w:t xml:space="preserve">s </w:t>
      </w:r>
      <w:r w:rsidR="00170D15">
        <w:rPr>
          <w:noProof/>
        </w:rPr>
        <w:t xml:space="preserve">enforcement practice between October 2023 and June 2025 and </w:t>
      </w:r>
      <w:r>
        <w:rPr>
          <w:noProof/>
        </w:rPr>
        <w:t>assesses the overall approach adopted by the Commission and identifies patterns in its assessment practice</w:t>
      </w:r>
      <w:r w:rsidR="007749EE">
        <w:rPr>
          <w:noProof/>
        </w:rPr>
        <w:t xml:space="preserve">, in particular with regards to </w:t>
      </w:r>
      <w:r>
        <w:rPr>
          <w:noProof/>
        </w:rPr>
        <w:t xml:space="preserve">the application of </w:t>
      </w:r>
      <w:r w:rsidR="00001A38" w:rsidRPr="00FB2F78">
        <w:rPr>
          <w:noProof/>
        </w:rPr>
        <w:t>Articles</w:t>
      </w:r>
      <w:r w:rsidR="00001A38">
        <w:rPr>
          <w:noProof/>
        </w:rPr>
        <w:t> </w:t>
      </w:r>
      <w:r w:rsidRPr="00FB2F78">
        <w:rPr>
          <w:noProof/>
        </w:rPr>
        <w:t>4, 5, 6, 9, 20(3) and 28(1) and (2) FSR</w:t>
      </w:r>
      <w:r w:rsidR="00923D9F" w:rsidRPr="00813DD6">
        <w:rPr>
          <w:rFonts w:ascii="Aptos" w:hAnsi="Aptos"/>
          <w:noProof/>
        </w:rPr>
        <w:t>.</w:t>
      </w:r>
      <w:r>
        <w:rPr>
          <w:noProof/>
        </w:rPr>
        <w:t xml:space="preserve"> </w:t>
      </w:r>
    </w:p>
    <w:p w14:paraId="5F44824F" w14:textId="00BB4526" w:rsidR="008C6C54" w:rsidRPr="00750DE1" w:rsidRDefault="008C6C54" w:rsidP="00807C9E">
      <w:pPr>
        <w:pStyle w:val="ContNumLevel3"/>
        <w:rPr>
          <w:noProof/>
          <w:lang w:val="en-IE"/>
        </w:rPr>
      </w:pPr>
      <w:r w:rsidRPr="00750DE1">
        <w:rPr>
          <w:noProof/>
          <w:lang w:val="en-IE"/>
        </w:rPr>
        <w:t>Review of developments in third countries’ subsidy control systems</w:t>
      </w:r>
    </w:p>
    <w:p w14:paraId="6247F0D5" w14:textId="23FF62B4" w:rsidR="008C6C54" w:rsidRPr="00CE4B68" w:rsidRDefault="00170D15" w:rsidP="004A1922">
      <w:pPr>
        <w:rPr>
          <w:noProof/>
          <w:lang w:val="en-IE"/>
        </w:rPr>
      </w:pPr>
      <w:r>
        <w:rPr>
          <w:noProof/>
          <w:lang w:val="en-IE"/>
        </w:rPr>
        <w:t>T</w:t>
      </w:r>
      <w:r w:rsidR="00A66475">
        <w:rPr>
          <w:noProof/>
          <w:lang w:val="en-IE"/>
        </w:rPr>
        <w:t>his section</w:t>
      </w:r>
      <w:r w:rsidR="008C6C54" w:rsidRPr="00CE4B68">
        <w:rPr>
          <w:noProof/>
          <w:lang w:val="en-IE"/>
        </w:rPr>
        <w:t xml:space="preserve"> </w:t>
      </w:r>
      <w:r w:rsidR="00DB5DAD">
        <w:rPr>
          <w:noProof/>
          <w:lang w:val="en-IE"/>
        </w:rPr>
        <w:t>reports on</w:t>
      </w:r>
      <w:r w:rsidR="008C6C54" w:rsidRPr="00CE4B68">
        <w:rPr>
          <w:noProof/>
          <w:lang w:val="en-IE"/>
        </w:rPr>
        <w:t xml:space="preserve"> developments in international relations </w:t>
      </w:r>
      <w:r w:rsidR="00DB5DAD">
        <w:rPr>
          <w:noProof/>
          <w:lang w:val="en-IE"/>
        </w:rPr>
        <w:t>involving</w:t>
      </w:r>
      <w:r w:rsidR="008C6C54" w:rsidRPr="00CE4B68">
        <w:rPr>
          <w:noProof/>
          <w:lang w:val="en-IE"/>
        </w:rPr>
        <w:t xml:space="preserve"> third countries’ subsidy control systems, as referred to in </w:t>
      </w:r>
      <w:r w:rsidR="00001A38" w:rsidRPr="00CE4B68">
        <w:rPr>
          <w:noProof/>
          <w:lang w:val="en-IE"/>
        </w:rPr>
        <w:t>Article</w:t>
      </w:r>
      <w:r w:rsidR="00001A38">
        <w:rPr>
          <w:noProof/>
          <w:lang w:val="en-IE"/>
        </w:rPr>
        <w:t> </w:t>
      </w:r>
      <w:r w:rsidR="008C6C54" w:rsidRPr="00CE4B68">
        <w:rPr>
          <w:noProof/>
          <w:lang w:val="en-IE"/>
        </w:rPr>
        <w:t xml:space="preserve">52 FSR. </w:t>
      </w:r>
    </w:p>
    <w:p w14:paraId="12C6CD79" w14:textId="177A6417" w:rsidR="003E2A8D" w:rsidRPr="00CE4B68" w:rsidRDefault="008C6C54" w:rsidP="004A1922">
      <w:pPr>
        <w:rPr>
          <w:noProof/>
          <w:lang w:val="en-IE"/>
        </w:rPr>
      </w:pPr>
      <w:r w:rsidRPr="00CE4B68">
        <w:rPr>
          <w:noProof/>
          <w:lang w:val="en-IE"/>
        </w:rPr>
        <w:t xml:space="preserve">The analysis focuses on Canada, China, Japan, Switzerland, Türkiye, the United Arab Emirates, </w:t>
      </w:r>
      <w:r w:rsidR="007D30DF" w:rsidRPr="00CE4B68">
        <w:rPr>
          <w:noProof/>
          <w:lang w:val="en-IE"/>
        </w:rPr>
        <w:t>the United Kingdom and the United States</w:t>
      </w:r>
      <w:r w:rsidRPr="00CE4B68">
        <w:rPr>
          <w:noProof/>
          <w:lang w:val="en-IE"/>
        </w:rPr>
        <w:t xml:space="preserve">. Other jurisdictions with which the </w:t>
      </w:r>
      <w:r w:rsidR="007D30DF" w:rsidRPr="00CE4B68">
        <w:rPr>
          <w:noProof/>
          <w:lang w:val="en-IE"/>
        </w:rPr>
        <w:t xml:space="preserve">Union </w:t>
      </w:r>
      <w:r w:rsidRPr="00CE4B68">
        <w:rPr>
          <w:noProof/>
          <w:lang w:val="en-IE"/>
        </w:rPr>
        <w:t>has bilateral trade or investment agreements are addressed at an overview and aggregate level.</w:t>
      </w:r>
      <w:r w:rsidR="00365956">
        <w:rPr>
          <w:noProof/>
          <w:lang w:val="en-IE"/>
        </w:rPr>
        <w:t xml:space="preserve"> The study also covers </w:t>
      </w:r>
      <w:r w:rsidR="00365956" w:rsidRPr="00365956">
        <w:rPr>
          <w:noProof/>
          <w:lang w:val="en-IE"/>
        </w:rPr>
        <w:t xml:space="preserve">international developments in subsidy control, in particular in relation to jurisdictions that have recently entered into Free Trade Agreements with the </w:t>
      </w:r>
      <w:r w:rsidR="00DB5DAD">
        <w:rPr>
          <w:noProof/>
          <w:lang w:val="en-IE"/>
        </w:rPr>
        <w:t>Union</w:t>
      </w:r>
      <w:r w:rsidR="00365956">
        <w:rPr>
          <w:noProof/>
          <w:lang w:val="en-IE"/>
        </w:rPr>
        <w:t>.</w:t>
      </w:r>
    </w:p>
    <w:p w14:paraId="1A6DB0F5" w14:textId="72FBDEDD" w:rsidR="00242109" w:rsidRDefault="00242109" w:rsidP="00807C9E">
      <w:pPr>
        <w:pStyle w:val="Heading3"/>
        <w:rPr>
          <w:noProof/>
        </w:rPr>
      </w:pPr>
      <w:bookmarkStart w:id="41" w:name="_Toc234227850"/>
      <w:r>
        <w:rPr>
          <w:noProof/>
        </w:rPr>
        <w:t xml:space="preserve">The </w:t>
      </w:r>
      <w:r w:rsidR="00697EAC">
        <w:rPr>
          <w:noProof/>
        </w:rPr>
        <w:t xml:space="preserve">FSR Review </w:t>
      </w:r>
      <w:r>
        <w:rPr>
          <w:noProof/>
        </w:rPr>
        <w:t>Public Consultation</w:t>
      </w:r>
      <w:bookmarkEnd w:id="41"/>
      <w:r w:rsidR="008417B8">
        <w:rPr>
          <w:noProof/>
        </w:rPr>
        <w:t xml:space="preserve"> </w:t>
      </w:r>
    </w:p>
    <w:p w14:paraId="28BC91C7" w14:textId="2A2A3D04" w:rsidR="00265C57" w:rsidRDefault="00265C57" w:rsidP="004A1922">
      <w:pPr>
        <w:rPr>
          <w:noProof/>
        </w:rPr>
      </w:pPr>
      <w:r>
        <w:rPr>
          <w:noProof/>
        </w:rPr>
        <w:t xml:space="preserve">In August 2025, the Commission launched </w:t>
      </w:r>
      <w:r w:rsidR="00D86BAF">
        <w:rPr>
          <w:noProof/>
        </w:rPr>
        <w:t>the FSR Review</w:t>
      </w:r>
      <w:r>
        <w:rPr>
          <w:noProof/>
        </w:rPr>
        <w:t xml:space="preserve"> public consultation</w:t>
      </w:r>
      <w:r w:rsidR="00D86BAF">
        <w:rPr>
          <w:noProof/>
        </w:rPr>
        <w:t xml:space="preserve">, </w:t>
      </w:r>
      <w:r w:rsidR="0089167F">
        <w:rPr>
          <w:noProof/>
        </w:rPr>
        <w:t>which ran until</w:t>
      </w:r>
      <w:r>
        <w:rPr>
          <w:noProof/>
        </w:rPr>
        <w:t xml:space="preserve"> 18 November 2025</w:t>
      </w:r>
      <w:r w:rsidR="00CA19A3">
        <w:rPr>
          <w:noProof/>
        </w:rPr>
        <w:t xml:space="preserve">. The </w:t>
      </w:r>
      <w:r w:rsidR="00D86BAF">
        <w:rPr>
          <w:noProof/>
        </w:rPr>
        <w:t xml:space="preserve">FSR Review </w:t>
      </w:r>
      <w:r w:rsidR="00CA19A3">
        <w:rPr>
          <w:noProof/>
        </w:rPr>
        <w:t>public consultation</w:t>
      </w:r>
      <w:r w:rsidR="00FC5B98">
        <w:rPr>
          <w:noProof/>
        </w:rPr>
        <w:t xml:space="preserve"> </w:t>
      </w:r>
      <w:r w:rsidR="00D86BAF">
        <w:rPr>
          <w:noProof/>
        </w:rPr>
        <w:t>contained</w:t>
      </w:r>
      <w:r>
        <w:rPr>
          <w:noProof/>
        </w:rPr>
        <w:t xml:space="preserve"> two component</w:t>
      </w:r>
      <w:r w:rsidR="0020666D">
        <w:rPr>
          <w:noProof/>
        </w:rPr>
        <w:t>s</w:t>
      </w:r>
      <w:r w:rsidR="00D86BAF">
        <w:rPr>
          <w:noProof/>
        </w:rPr>
        <w:t>: first</w:t>
      </w:r>
      <w:r>
        <w:rPr>
          <w:noProof/>
        </w:rPr>
        <w:t>, a call for evidence invited general feedback from all interested parties on the main objectives of the Report, as well as on its scope and context</w:t>
      </w:r>
      <w:r w:rsidR="00D86BAF">
        <w:rPr>
          <w:noProof/>
        </w:rPr>
        <w:t>; and s</w:t>
      </w:r>
      <w:r>
        <w:rPr>
          <w:noProof/>
        </w:rPr>
        <w:t>econd, a public consultation questionnaire aimed to gather views on specific aspects of the implementation and enforcement of the FSR from a broad range of stakeholders, including companies, law firms, Member States, business associations, individuals and the research community. All interested parties were able to submit their views on the call for evidence and respond to the questionnaire in any official EU language.</w:t>
      </w:r>
      <w:r w:rsidR="004A1855">
        <w:rPr>
          <w:noProof/>
        </w:rPr>
        <w:t xml:space="preserve"> Additional input was obtained through </w:t>
      </w:r>
      <w:r w:rsidR="007A3981">
        <w:rPr>
          <w:noProof/>
        </w:rPr>
        <w:t>target</w:t>
      </w:r>
      <w:r w:rsidR="004A1855">
        <w:rPr>
          <w:noProof/>
        </w:rPr>
        <w:t>ed interviews with selected stakeholders.</w:t>
      </w:r>
    </w:p>
    <w:p w14:paraId="0E27BA62" w14:textId="7FCA407B" w:rsidR="008C6C54" w:rsidRPr="008C6C54" w:rsidRDefault="00265C57" w:rsidP="004A1922">
      <w:pPr>
        <w:rPr>
          <w:noProof/>
        </w:rPr>
      </w:pPr>
      <w:r w:rsidDel="00FC5B98">
        <w:rPr>
          <w:noProof/>
        </w:rPr>
        <w:t xml:space="preserve">The </w:t>
      </w:r>
      <w:r w:rsidR="004E0941">
        <w:rPr>
          <w:noProof/>
        </w:rPr>
        <w:t>p</w:t>
      </w:r>
      <w:r>
        <w:rPr>
          <w:noProof/>
        </w:rPr>
        <w:t>ublic</w:t>
      </w:r>
      <w:r w:rsidR="00FC5B98" w:rsidDel="009069A2">
        <w:rPr>
          <w:noProof/>
        </w:rPr>
        <w:t xml:space="preserve"> </w:t>
      </w:r>
      <w:r w:rsidR="004E0941">
        <w:rPr>
          <w:noProof/>
        </w:rPr>
        <w:t>c</w:t>
      </w:r>
      <w:r w:rsidR="009069A2">
        <w:rPr>
          <w:noProof/>
        </w:rPr>
        <w:t xml:space="preserve">onsultation </w:t>
      </w:r>
      <w:r>
        <w:rPr>
          <w:noProof/>
        </w:rPr>
        <w:t xml:space="preserve">generated a </w:t>
      </w:r>
      <w:r w:rsidR="00FC5B98">
        <w:rPr>
          <w:noProof/>
        </w:rPr>
        <w:t>high</w:t>
      </w:r>
      <w:r>
        <w:rPr>
          <w:noProof/>
        </w:rPr>
        <w:t xml:space="preserve"> level of participation, including </w:t>
      </w:r>
      <w:r w:rsidR="005F6A5F">
        <w:rPr>
          <w:noProof/>
        </w:rPr>
        <w:t xml:space="preserve">respectively </w:t>
      </w:r>
      <w:r w:rsidR="00001A38">
        <w:rPr>
          <w:noProof/>
        </w:rPr>
        <w:t>49 </w:t>
      </w:r>
      <w:r>
        <w:rPr>
          <w:noProof/>
        </w:rPr>
        <w:t xml:space="preserve">responses to the call for evidence and </w:t>
      </w:r>
      <w:r w:rsidR="00001A38">
        <w:rPr>
          <w:noProof/>
        </w:rPr>
        <w:t>54 </w:t>
      </w:r>
      <w:r>
        <w:rPr>
          <w:noProof/>
        </w:rPr>
        <w:t>responses to the public consultation questionnaire</w:t>
      </w:r>
      <w:r w:rsidR="00E56A3A" w:rsidRPr="00E56A3A">
        <w:rPr>
          <w:noProof/>
        </w:rPr>
        <w:t> (</w:t>
      </w:r>
      <w:r w:rsidR="00E56A3A">
        <w:rPr>
          <w:rStyle w:val="FootnoteReference"/>
          <w:noProof/>
        </w:rPr>
        <w:footnoteReference w:id="27"/>
      </w:r>
      <w:r w:rsidR="00E56A3A">
        <w:rPr>
          <w:noProof/>
        </w:rPr>
        <w:t>)</w:t>
      </w:r>
      <w:r w:rsidR="00D30EF0">
        <w:rPr>
          <w:noProof/>
        </w:rPr>
        <w:t>.</w:t>
      </w:r>
      <w:r>
        <w:rPr>
          <w:noProof/>
        </w:rPr>
        <w:t xml:space="preserve"> This input was </w:t>
      </w:r>
      <w:r w:rsidR="00FC5B98">
        <w:rPr>
          <w:noProof/>
        </w:rPr>
        <w:t xml:space="preserve">subsequently </w:t>
      </w:r>
      <w:r>
        <w:rPr>
          <w:noProof/>
        </w:rPr>
        <w:t xml:space="preserve">complemented by </w:t>
      </w:r>
      <w:r w:rsidR="007A3981">
        <w:rPr>
          <w:noProof/>
        </w:rPr>
        <w:t>target</w:t>
      </w:r>
      <w:r>
        <w:rPr>
          <w:noProof/>
        </w:rPr>
        <w:t>ed interviews with selected stakeholders and meetings with Member States.</w:t>
      </w:r>
    </w:p>
    <w:p w14:paraId="7450AC4B" w14:textId="06E318CA" w:rsidR="00242109" w:rsidRPr="00A47B29" w:rsidRDefault="005D242D" w:rsidP="00807C9E">
      <w:pPr>
        <w:pStyle w:val="Heading3"/>
        <w:rPr>
          <w:i w:val="0"/>
          <w:noProof/>
        </w:rPr>
      </w:pPr>
      <w:bookmarkStart w:id="42" w:name="_Toc234227851"/>
      <w:r>
        <w:rPr>
          <w:noProof/>
        </w:rPr>
        <w:t xml:space="preserve">Commission’s internal FSR </w:t>
      </w:r>
      <w:r w:rsidR="00001A38">
        <w:rPr>
          <w:noProof/>
        </w:rPr>
        <w:t>review</w:t>
      </w:r>
      <w:bookmarkEnd w:id="42"/>
      <w:r w:rsidR="00001A38" w:rsidDel="006749FF">
        <w:rPr>
          <w:noProof/>
        </w:rPr>
        <w:t xml:space="preserve"> </w:t>
      </w:r>
    </w:p>
    <w:p w14:paraId="0FEF5EBE" w14:textId="5B309D58" w:rsidR="00D46B1F" w:rsidRDefault="00D46B1F" w:rsidP="004A1922">
      <w:pPr>
        <w:rPr>
          <w:noProof/>
        </w:rPr>
      </w:pPr>
      <w:r>
        <w:rPr>
          <w:noProof/>
        </w:rPr>
        <w:t>In the</w:t>
      </w:r>
      <w:r w:rsidDel="009069A2">
        <w:rPr>
          <w:noProof/>
        </w:rPr>
        <w:t xml:space="preserve"> </w:t>
      </w:r>
      <w:r w:rsidR="009069A2">
        <w:rPr>
          <w:noProof/>
        </w:rPr>
        <w:t xml:space="preserve">first half </w:t>
      </w:r>
      <w:r>
        <w:rPr>
          <w:noProof/>
        </w:rPr>
        <w:t xml:space="preserve">of 2026, the Commission </w:t>
      </w:r>
      <w:r w:rsidR="00001A38">
        <w:rPr>
          <w:noProof/>
        </w:rPr>
        <w:t>services</w:t>
      </w:r>
      <w:r>
        <w:rPr>
          <w:noProof/>
        </w:rPr>
        <w:t xml:space="preserve"> conducted an internal </w:t>
      </w:r>
      <w:r w:rsidR="00001A38">
        <w:rPr>
          <w:noProof/>
        </w:rPr>
        <w:t>review</w:t>
      </w:r>
      <w:r w:rsidR="00001A38" w:rsidDel="006749FF">
        <w:rPr>
          <w:noProof/>
        </w:rPr>
        <w:t xml:space="preserve"> </w:t>
      </w:r>
      <w:r w:rsidDel="006749FF">
        <w:rPr>
          <w:noProof/>
        </w:rPr>
        <w:t xml:space="preserve">among </w:t>
      </w:r>
      <w:r w:rsidR="00FC5B98" w:rsidDel="006749FF">
        <w:rPr>
          <w:noProof/>
        </w:rPr>
        <w:t>case teams engaged in enforcing the FSR</w:t>
      </w:r>
      <w:r w:rsidDel="006749FF">
        <w:rPr>
          <w:noProof/>
        </w:rPr>
        <w:t>, seeking feedback on</w:t>
      </w:r>
      <w:r>
        <w:rPr>
          <w:noProof/>
        </w:rPr>
        <w:t xml:space="preserve"> the</w:t>
      </w:r>
      <w:r w:rsidR="00FC5B98">
        <w:rPr>
          <w:noProof/>
        </w:rPr>
        <w:t xml:space="preserve"> experience with</w:t>
      </w:r>
      <w:r>
        <w:rPr>
          <w:noProof/>
        </w:rPr>
        <w:t xml:space="preserve"> enforcement and </w:t>
      </w:r>
      <w:r w:rsidR="00170D15">
        <w:rPr>
          <w:noProof/>
        </w:rPr>
        <w:t xml:space="preserve">analysed data </w:t>
      </w:r>
      <w:r w:rsidR="009A6C05">
        <w:rPr>
          <w:noProof/>
        </w:rPr>
        <w:t>related to</w:t>
      </w:r>
      <w:r w:rsidR="00170D15">
        <w:rPr>
          <w:noProof/>
        </w:rPr>
        <w:t xml:space="preserve"> </w:t>
      </w:r>
      <w:r w:rsidR="00001A38">
        <w:rPr>
          <w:noProof/>
        </w:rPr>
        <w:t>the</w:t>
      </w:r>
      <w:r w:rsidR="00170D15">
        <w:rPr>
          <w:noProof/>
        </w:rPr>
        <w:t xml:space="preserve"> enforcement practice</w:t>
      </w:r>
      <w:r>
        <w:rPr>
          <w:noProof/>
        </w:rPr>
        <w:t>.</w:t>
      </w:r>
    </w:p>
    <w:p w14:paraId="476960AA" w14:textId="1E75A8A2" w:rsidR="00452E1A" w:rsidRDefault="00907D7C" w:rsidP="004A1922">
      <w:pPr>
        <w:rPr>
          <w:noProof/>
        </w:rPr>
      </w:pPr>
      <w:r>
        <w:rPr>
          <w:noProof/>
        </w:rPr>
        <w:t>The data analysed for</w:t>
      </w:r>
      <w:r w:rsidR="00611D87">
        <w:rPr>
          <w:noProof/>
        </w:rPr>
        <w:t xml:space="preserve"> DG</w:t>
      </w:r>
      <w:r>
        <w:rPr>
          <w:noProof/>
        </w:rPr>
        <w:t xml:space="preserve"> COMP focused on </w:t>
      </w:r>
      <w:r w:rsidR="000B25F3">
        <w:rPr>
          <w:noProof/>
        </w:rPr>
        <w:t>FSR</w:t>
      </w:r>
      <w:r>
        <w:rPr>
          <w:noProof/>
        </w:rPr>
        <w:t xml:space="preserve"> </w:t>
      </w:r>
      <w:r w:rsidR="00E245E5">
        <w:rPr>
          <w:noProof/>
        </w:rPr>
        <w:t xml:space="preserve">concentration </w:t>
      </w:r>
      <w:r>
        <w:rPr>
          <w:noProof/>
        </w:rPr>
        <w:t>cases</w:t>
      </w:r>
      <w:r w:rsidR="00FC5B98">
        <w:rPr>
          <w:noProof/>
        </w:rPr>
        <w:t xml:space="preserve"> notified</w:t>
      </w:r>
      <w:r w:rsidR="00923D9F">
        <w:rPr>
          <w:noProof/>
        </w:rPr>
        <w:t xml:space="preserve"> </w:t>
      </w:r>
      <w:r>
        <w:rPr>
          <w:noProof/>
        </w:rPr>
        <w:t xml:space="preserve">between October 2023 </w:t>
      </w:r>
      <w:r w:rsidR="002741A2">
        <w:rPr>
          <w:noProof/>
        </w:rPr>
        <w:t>and</w:t>
      </w:r>
      <w:r>
        <w:rPr>
          <w:noProof/>
        </w:rPr>
        <w:t xml:space="preserve"> January 2026</w:t>
      </w:r>
      <w:r w:rsidR="00A66475">
        <w:rPr>
          <w:noProof/>
        </w:rPr>
        <w:t xml:space="preserve">, </w:t>
      </w:r>
      <w:r w:rsidR="00A66475" w:rsidRPr="00A66475">
        <w:rPr>
          <w:noProof/>
        </w:rPr>
        <w:t>reflecting the availability of data and practical experience in this area</w:t>
      </w:r>
      <w:r w:rsidR="00E245E5" w:rsidRPr="00E245E5">
        <w:rPr>
          <w:noProof/>
        </w:rPr>
        <w:t> (</w:t>
      </w:r>
      <w:r w:rsidR="00E245E5">
        <w:rPr>
          <w:rStyle w:val="FootnoteReference"/>
          <w:noProof/>
        </w:rPr>
        <w:footnoteReference w:id="28"/>
      </w:r>
      <w:r w:rsidR="00E245E5">
        <w:rPr>
          <w:noProof/>
        </w:rPr>
        <w:t>)</w:t>
      </w:r>
      <w:r w:rsidR="000B25F3">
        <w:rPr>
          <w:noProof/>
        </w:rPr>
        <w:t>.</w:t>
      </w:r>
      <w:r w:rsidR="00611D87">
        <w:rPr>
          <w:noProof/>
        </w:rPr>
        <w:t xml:space="preserve"> </w:t>
      </w:r>
      <w:r w:rsidR="005654E0">
        <w:rPr>
          <w:noProof/>
        </w:rPr>
        <w:t xml:space="preserve">The </w:t>
      </w:r>
      <w:r w:rsidR="00611D87">
        <w:rPr>
          <w:noProof/>
        </w:rPr>
        <w:t xml:space="preserve">internal review assessed cases across several characteristics, including: </w:t>
      </w:r>
      <w:r w:rsidR="004E0941">
        <w:rPr>
          <w:noProof/>
        </w:rPr>
        <w:t>(</w:t>
      </w:r>
      <w:r w:rsidR="00611D87">
        <w:rPr>
          <w:noProof/>
        </w:rPr>
        <w:t>i</w:t>
      </w:r>
      <w:r w:rsidR="00001A38">
        <w:rPr>
          <w:noProof/>
        </w:rPr>
        <w:t>) </w:t>
      </w:r>
      <w:r w:rsidR="00CE1C37" w:rsidDel="00611D87">
        <w:rPr>
          <w:noProof/>
        </w:rPr>
        <w:t>characteristics</w:t>
      </w:r>
      <w:r w:rsidR="00611D87">
        <w:rPr>
          <w:noProof/>
        </w:rPr>
        <w:t xml:space="preserve"> of the notifying parties</w:t>
      </w:r>
      <w:r w:rsidR="000C27D4" w:rsidRPr="00452E1A">
        <w:rPr>
          <w:noProof/>
        </w:rPr>
        <w:t>;</w:t>
      </w:r>
      <w:r w:rsidR="00611D87">
        <w:rPr>
          <w:noProof/>
        </w:rPr>
        <w:t xml:space="preserve"> </w:t>
      </w:r>
      <w:r w:rsidR="004E0941">
        <w:rPr>
          <w:noProof/>
        </w:rPr>
        <w:t>(</w:t>
      </w:r>
      <w:r w:rsidR="00611D87">
        <w:rPr>
          <w:noProof/>
        </w:rPr>
        <w:t>ii</w:t>
      </w:r>
      <w:r w:rsidR="00001A38">
        <w:rPr>
          <w:noProof/>
        </w:rPr>
        <w:t>) </w:t>
      </w:r>
      <w:r w:rsidR="00F222A1">
        <w:rPr>
          <w:noProof/>
        </w:rPr>
        <w:t xml:space="preserve">the </w:t>
      </w:r>
      <w:r w:rsidR="00611D87">
        <w:rPr>
          <w:noProof/>
        </w:rPr>
        <w:t>amount and type</w:t>
      </w:r>
      <w:r w:rsidR="00F222A1">
        <w:rPr>
          <w:noProof/>
        </w:rPr>
        <w:t xml:space="preserve"> of reported FFCs</w:t>
      </w:r>
      <w:r w:rsidR="00611D87">
        <w:rPr>
          <w:noProof/>
        </w:rPr>
        <w:t xml:space="preserve">; </w:t>
      </w:r>
      <w:r w:rsidR="004E0941">
        <w:rPr>
          <w:noProof/>
        </w:rPr>
        <w:t>(</w:t>
      </w:r>
      <w:r w:rsidR="00611D87">
        <w:rPr>
          <w:noProof/>
        </w:rPr>
        <w:t>iii</w:t>
      </w:r>
      <w:r w:rsidR="00001A38">
        <w:rPr>
          <w:noProof/>
        </w:rPr>
        <w:t>) </w:t>
      </w:r>
      <w:r w:rsidR="00611D87">
        <w:rPr>
          <w:noProof/>
        </w:rPr>
        <w:t>t</w:t>
      </w:r>
      <w:r w:rsidR="00F222A1">
        <w:rPr>
          <w:noProof/>
        </w:rPr>
        <w:t xml:space="preserve">he </w:t>
      </w:r>
      <w:r w:rsidR="00611D87">
        <w:rPr>
          <w:noProof/>
        </w:rPr>
        <w:t>economic activities of the</w:t>
      </w:r>
      <w:r w:rsidR="001A42F8">
        <w:rPr>
          <w:noProof/>
        </w:rPr>
        <w:t xml:space="preserve"> </w:t>
      </w:r>
      <w:r w:rsidR="000C27D4" w:rsidRPr="00452E1A">
        <w:rPr>
          <w:noProof/>
        </w:rPr>
        <w:t>parties</w:t>
      </w:r>
      <w:r w:rsidR="00611D87">
        <w:rPr>
          <w:noProof/>
        </w:rPr>
        <w:t xml:space="preserve"> to the concentration</w:t>
      </w:r>
      <w:r w:rsidR="00F222A1">
        <w:rPr>
          <w:noProof/>
        </w:rPr>
        <w:t xml:space="preserve"> (identified by NACE codes</w:t>
      </w:r>
      <w:r w:rsidR="000C27D4" w:rsidRPr="00452E1A">
        <w:rPr>
          <w:noProof/>
        </w:rPr>
        <w:t xml:space="preserve">); </w:t>
      </w:r>
      <w:r w:rsidR="004E0941">
        <w:rPr>
          <w:noProof/>
        </w:rPr>
        <w:t>(</w:t>
      </w:r>
      <w:r w:rsidR="000C27D4" w:rsidRPr="00452E1A">
        <w:rPr>
          <w:noProof/>
        </w:rPr>
        <w:t>iv</w:t>
      </w:r>
      <w:r w:rsidR="00001A38" w:rsidRPr="00452E1A">
        <w:rPr>
          <w:noProof/>
        </w:rPr>
        <w:t>)</w:t>
      </w:r>
      <w:r w:rsidR="00001A38">
        <w:rPr>
          <w:noProof/>
        </w:rPr>
        <w:t> </w:t>
      </w:r>
      <w:r w:rsidR="000C27D4" w:rsidRPr="00452E1A">
        <w:rPr>
          <w:noProof/>
        </w:rPr>
        <w:t xml:space="preserve">the reported EU turnover of the </w:t>
      </w:r>
      <w:r w:rsidR="00853091">
        <w:rPr>
          <w:noProof/>
        </w:rPr>
        <w:t>t</w:t>
      </w:r>
      <w:r w:rsidR="00853091" w:rsidRPr="00452E1A">
        <w:rPr>
          <w:noProof/>
        </w:rPr>
        <w:t>arget</w:t>
      </w:r>
      <w:r w:rsidR="000C27D4">
        <w:rPr>
          <w:noProof/>
        </w:rPr>
        <w:t xml:space="preserve">, </w:t>
      </w:r>
      <w:r w:rsidR="004E0941">
        <w:rPr>
          <w:noProof/>
        </w:rPr>
        <w:t>(</w:t>
      </w:r>
      <w:r w:rsidR="000C27D4">
        <w:rPr>
          <w:noProof/>
        </w:rPr>
        <w:t>v</w:t>
      </w:r>
      <w:r w:rsidR="00001A38">
        <w:rPr>
          <w:noProof/>
        </w:rPr>
        <w:t>) </w:t>
      </w:r>
      <w:r w:rsidR="000C27D4">
        <w:rPr>
          <w:noProof/>
        </w:rPr>
        <w:t xml:space="preserve">consideration </w:t>
      </w:r>
      <w:r w:rsidR="00CA19A3">
        <w:rPr>
          <w:noProof/>
        </w:rPr>
        <w:t xml:space="preserve">paid </w:t>
      </w:r>
      <w:r w:rsidR="000C27D4">
        <w:rPr>
          <w:noProof/>
        </w:rPr>
        <w:t xml:space="preserve">for the </w:t>
      </w:r>
      <w:r w:rsidR="00CA19A3">
        <w:rPr>
          <w:noProof/>
        </w:rPr>
        <w:t>t</w:t>
      </w:r>
      <w:r w:rsidR="000C27D4">
        <w:rPr>
          <w:noProof/>
        </w:rPr>
        <w:t xml:space="preserve">ransaction; and </w:t>
      </w:r>
      <w:r w:rsidR="00001A38">
        <w:rPr>
          <w:noProof/>
        </w:rPr>
        <w:t>(</w:t>
      </w:r>
      <w:r w:rsidR="000C27D4">
        <w:rPr>
          <w:noProof/>
        </w:rPr>
        <w:t>vi</w:t>
      </w:r>
      <w:r w:rsidR="00001A38">
        <w:rPr>
          <w:noProof/>
        </w:rPr>
        <w:t>) </w:t>
      </w:r>
      <w:r w:rsidR="000C27D4">
        <w:rPr>
          <w:noProof/>
        </w:rPr>
        <w:t>experience with pre-notification discussions</w:t>
      </w:r>
      <w:r w:rsidR="007D30DF">
        <w:rPr>
          <w:noProof/>
        </w:rPr>
        <w:t>.</w:t>
      </w:r>
      <w:r w:rsidR="000C27D4" w:rsidDel="000C27D4">
        <w:rPr>
          <w:noProof/>
        </w:rPr>
        <w:t xml:space="preserve"> </w:t>
      </w:r>
    </w:p>
    <w:p w14:paraId="3CDAF0DC" w14:textId="4C4AB82E" w:rsidR="00E3106A" w:rsidRDefault="00E3106A" w:rsidP="00E3106A">
      <w:pPr>
        <w:rPr>
          <w:noProof/>
        </w:rPr>
      </w:pPr>
      <w:r w:rsidRPr="003B001D">
        <w:rPr>
          <w:noProof/>
          <w:szCs w:val="24"/>
        </w:rPr>
        <w:t xml:space="preserve">To assess the application of the FSR’s public procurement </w:t>
      </w:r>
      <w:r w:rsidR="00001A38">
        <w:rPr>
          <w:noProof/>
          <w:szCs w:val="24"/>
        </w:rPr>
        <w:t>procedure</w:t>
      </w:r>
      <w:r w:rsidRPr="003B001D">
        <w:rPr>
          <w:noProof/>
          <w:szCs w:val="24"/>
        </w:rPr>
        <w:t xml:space="preserve">, the Commission </w:t>
      </w:r>
      <w:r w:rsidR="00001A38">
        <w:rPr>
          <w:noProof/>
          <w:szCs w:val="24"/>
        </w:rPr>
        <w:t>services</w:t>
      </w:r>
      <w:r w:rsidRPr="003B001D">
        <w:rPr>
          <w:noProof/>
          <w:szCs w:val="24"/>
        </w:rPr>
        <w:t xml:space="preserve"> used data on submissions received between 13 October 2023 and 31 January 2026. The data </w:t>
      </w:r>
      <w:r>
        <w:rPr>
          <w:noProof/>
          <w:szCs w:val="24"/>
        </w:rPr>
        <w:t xml:space="preserve">examined </w:t>
      </w:r>
      <w:r w:rsidRPr="003B001D">
        <w:rPr>
          <w:noProof/>
          <w:szCs w:val="24"/>
        </w:rPr>
        <w:t xml:space="preserve">covers </w:t>
      </w:r>
      <w:r>
        <w:rPr>
          <w:noProof/>
          <w:szCs w:val="24"/>
        </w:rPr>
        <w:t>in particular</w:t>
      </w:r>
      <w:r w:rsidRPr="003B001D">
        <w:rPr>
          <w:noProof/>
          <w:szCs w:val="24"/>
        </w:rPr>
        <w:t xml:space="preserve"> the number of notified public procurement procedures, </w:t>
      </w:r>
      <w:r>
        <w:rPr>
          <w:noProof/>
          <w:szCs w:val="24"/>
        </w:rPr>
        <w:t xml:space="preserve">the number of </w:t>
      </w:r>
      <w:r w:rsidRPr="003B001D">
        <w:rPr>
          <w:noProof/>
          <w:szCs w:val="24"/>
        </w:rPr>
        <w:t>pre-notification</w:t>
      </w:r>
      <w:r>
        <w:rPr>
          <w:noProof/>
          <w:szCs w:val="24"/>
        </w:rPr>
        <w:t xml:space="preserve"> contact</w:t>
      </w:r>
      <w:r w:rsidRPr="003B001D">
        <w:rPr>
          <w:noProof/>
          <w:szCs w:val="24"/>
        </w:rPr>
        <w:t>s</w:t>
      </w:r>
      <w:r>
        <w:rPr>
          <w:noProof/>
          <w:szCs w:val="24"/>
        </w:rPr>
        <w:t>,</w:t>
      </w:r>
      <w:r w:rsidRPr="003B001D">
        <w:rPr>
          <w:noProof/>
          <w:szCs w:val="24"/>
        </w:rPr>
        <w:t xml:space="preserve"> </w:t>
      </w:r>
      <w:r>
        <w:rPr>
          <w:noProof/>
          <w:szCs w:val="24"/>
        </w:rPr>
        <w:t>the number of notification and the</w:t>
      </w:r>
      <w:r w:rsidRPr="003B001D">
        <w:rPr>
          <w:noProof/>
          <w:szCs w:val="24"/>
        </w:rPr>
        <w:t xml:space="preserve"> distributions of submissions per sector. Additionally, an analysis of global ultimate ownership</w:t>
      </w:r>
      <w:r w:rsidR="00E8759E" w:rsidRPr="00E8759E">
        <w:rPr>
          <w:noProof/>
          <w:szCs w:val="24"/>
        </w:rPr>
        <w:t> (</w:t>
      </w:r>
      <w:r w:rsidR="00E8759E">
        <w:rPr>
          <w:rStyle w:val="FootnoteReference"/>
          <w:noProof/>
          <w:szCs w:val="24"/>
        </w:rPr>
        <w:footnoteReference w:id="29"/>
      </w:r>
      <w:r w:rsidR="00E8759E">
        <w:rPr>
          <w:noProof/>
          <w:szCs w:val="24"/>
        </w:rPr>
        <w:t>)</w:t>
      </w:r>
      <w:r w:rsidRPr="003B001D">
        <w:rPr>
          <w:noProof/>
          <w:szCs w:val="24"/>
        </w:rPr>
        <w:t xml:space="preserve"> (i.e. country where the ultimate parent company is registered), carried out in the context of </w:t>
      </w:r>
      <w:r>
        <w:rPr>
          <w:noProof/>
          <w:szCs w:val="24"/>
        </w:rPr>
        <w:t xml:space="preserve">the review of the EU </w:t>
      </w:r>
      <w:r w:rsidRPr="003B001D">
        <w:rPr>
          <w:noProof/>
          <w:szCs w:val="24"/>
        </w:rPr>
        <w:t>public procurement</w:t>
      </w:r>
      <w:r>
        <w:rPr>
          <w:noProof/>
          <w:szCs w:val="24"/>
        </w:rPr>
        <w:t xml:space="preserve"> directives</w:t>
      </w:r>
      <w:r w:rsidRPr="003B001D">
        <w:rPr>
          <w:noProof/>
          <w:szCs w:val="24"/>
        </w:rPr>
        <w:t xml:space="preserve">, has been included in this </w:t>
      </w:r>
      <w:r w:rsidR="00BC15A0">
        <w:rPr>
          <w:noProof/>
          <w:szCs w:val="24"/>
        </w:rPr>
        <w:t>Staff Working Document</w:t>
      </w:r>
      <w:r>
        <w:rPr>
          <w:noProof/>
          <w:szCs w:val="24"/>
        </w:rPr>
        <w:t xml:space="preserve">, </w:t>
      </w:r>
      <w:r w:rsidRPr="003B001D">
        <w:rPr>
          <w:noProof/>
          <w:szCs w:val="24"/>
        </w:rPr>
        <w:t>cover</w:t>
      </w:r>
      <w:r>
        <w:rPr>
          <w:noProof/>
          <w:szCs w:val="24"/>
        </w:rPr>
        <w:t>ing</w:t>
      </w:r>
      <w:r w:rsidRPr="003B001D">
        <w:rPr>
          <w:noProof/>
          <w:szCs w:val="24"/>
        </w:rPr>
        <w:t xml:space="preserve"> the period between </w:t>
      </w:r>
      <w:r w:rsidR="00001A38">
        <w:rPr>
          <w:noProof/>
          <w:szCs w:val="24"/>
        </w:rPr>
        <w:t>13 </w:t>
      </w:r>
      <w:r w:rsidRPr="003B001D">
        <w:rPr>
          <w:noProof/>
          <w:szCs w:val="24"/>
        </w:rPr>
        <w:t xml:space="preserve">October 2023 and </w:t>
      </w:r>
      <w:r w:rsidR="00001A38">
        <w:rPr>
          <w:noProof/>
          <w:szCs w:val="24"/>
        </w:rPr>
        <w:t>31 </w:t>
      </w:r>
      <w:r w:rsidRPr="003B001D">
        <w:rPr>
          <w:noProof/>
          <w:szCs w:val="24"/>
        </w:rPr>
        <w:t xml:space="preserve">December 2025, a slightly narrower timespan than the submissions’ dataset. The differences in timespan do not represent a material difference for </w:t>
      </w:r>
      <w:r>
        <w:rPr>
          <w:noProof/>
          <w:szCs w:val="24"/>
        </w:rPr>
        <w:t xml:space="preserve">the current </w:t>
      </w:r>
      <w:r w:rsidRPr="003B001D">
        <w:rPr>
          <w:noProof/>
          <w:szCs w:val="24"/>
        </w:rPr>
        <w:t>analysis.</w:t>
      </w:r>
    </w:p>
    <w:p w14:paraId="7F6193F6" w14:textId="7AF0AAD7" w:rsidR="008C7584" w:rsidRDefault="008C7584" w:rsidP="00807C9E">
      <w:pPr>
        <w:pStyle w:val="Heading2"/>
        <w:rPr>
          <w:noProof/>
        </w:rPr>
      </w:pPr>
      <w:bookmarkStart w:id="43" w:name="_Toc234227852"/>
      <w:r>
        <w:rPr>
          <w:noProof/>
        </w:rPr>
        <w:t xml:space="preserve">Objectives sought with the </w:t>
      </w:r>
      <w:r w:rsidR="00FC5B98">
        <w:rPr>
          <w:noProof/>
        </w:rPr>
        <w:t>Report</w:t>
      </w:r>
      <w:bookmarkEnd w:id="43"/>
    </w:p>
    <w:p w14:paraId="19574F3C" w14:textId="4CDC32DF" w:rsidR="000331DB" w:rsidRDefault="000331DB" w:rsidP="004A1922">
      <w:pPr>
        <w:rPr>
          <w:noProof/>
        </w:rPr>
      </w:pPr>
      <w:r>
        <w:rPr>
          <w:noProof/>
        </w:rPr>
        <w:t xml:space="preserve">The objectives set out in this section are grounded in the broader policy framework of the Commission and </w:t>
      </w:r>
      <w:r w:rsidR="003259D3">
        <w:rPr>
          <w:noProof/>
        </w:rPr>
        <w:t xml:space="preserve">the </w:t>
      </w:r>
      <w:r>
        <w:rPr>
          <w:noProof/>
        </w:rPr>
        <w:t xml:space="preserve">legal framework governing the implementation of the FSR. In particular, </w:t>
      </w:r>
      <w:bookmarkStart w:id="44" w:name="_Hlk228807621"/>
      <w:r>
        <w:rPr>
          <w:noProof/>
        </w:rPr>
        <w:t xml:space="preserve">the objectives of transparency, simplification, and optimisation of work are </w:t>
      </w:r>
      <w:bookmarkEnd w:id="44"/>
      <w:r>
        <w:rPr>
          <w:noProof/>
        </w:rPr>
        <w:t>closely aligned with the Commission’s overarching priorities, as reflected in the Political Guidelines and the Commission Work Programme, which emphasise the importance of enhancing clarity, reducing administrative burdens, and ensuring the efficient use of resources in the application of EU rules</w:t>
      </w:r>
      <w:r w:rsidRPr="000331DB">
        <w:rPr>
          <w:noProof/>
        </w:rPr>
        <w:t> (</w:t>
      </w:r>
      <w:r>
        <w:rPr>
          <w:rStyle w:val="FootnoteReference"/>
          <w:noProof/>
        </w:rPr>
        <w:footnoteReference w:id="30"/>
      </w:r>
      <w:r>
        <w:rPr>
          <w:noProof/>
        </w:rPr>
        <w:t>)</w:t>
      </w:r>
      <w:r w:rsidR="00FA026A">
        <w:rPr>
          <w:noProof/>
        </w:rPr>
        <w:t>.</w:t>
      </w:r>
    </w:p>
    <w:p w14:paraId="50B53380" w14:textId="123A635A" w:rsidR="000331DB" w:rsidRPr="000331DB" w:rsidRDefault="000331DB" w:rsidP="004A1922">
      <w:pPr>
        <w:rPr>
          <w:noProof/>
        </w:rPr>
      </w:pPr>
      <w:r>
        <w:rPr>
          <w:noProof/>
        </w:rPr>
        <w:t xml:space="preserve">At the same time, the </w:t>
      </w:r>
      <w:r w:rsidR="0067422D">
        <w:rPr>
          <w:noProof/>
        </w:rPr>
        <w:t>Commission remains fully committed to its</w:t>
      </w:r>
      <w:r>
        <w:rPr>
          <w:noProof/>
        </w:rPr>
        <w:t xml:space="preserve"> international obligations </w:t>
      </w:r>
      <w:r w:rsidR="0067422D">
        <w:rPr>
          <w:noProof/>
        </w:rPr>
        <w:t>as</w:t>
      </w:r>
      <w:r>
        <w:rPr>
          <w:noProof/>
        </w:rPr>
        <w:t xml:space="preserve"> set out in </w:t>
      </w:r>
      <w:r w:rsidR="00001A38">
        <w:rPr>
          <w:noProof/>
        </w:rPr>
        <w:t>Article </w:t>
      </w:r>
      <w:r>
        <w:rPr>
          <w:noProof/>
        </w:rPr>
        <w:t xml:space="preserve">44(9) FSR and </w:t>
      </w:r>
      <w:r w:rsidR="00287ABA">
        <w:rPr>
          <w:noProof/>
        </w:rPr>
        <w:t>the compliance of</w:t>
      </w:r>
      <w:r w:rsidR="0067422D">
        <w:rPr>
          <w:noProof/>
        </w:rPr>
        <w:t xml:space="preserve"> the implementation and enforcement of</w:t>
      </w:r>
      <w:r>
        <w:rPr>
          <w:noProof/>
        </w:rPr>
        <w:t xml:space="preserve"> the Regulation</w:t>
      </w:r>
      <w:r w:rsidDel="004B1AED">
        <w:rPr>
          <w:noProof/>
        </w:rPr>
        <w:t xml:space="preserve"> </w:t>
      </w:r>
      <w:r>
        <w:rPr>
          <w:noProof/>
        </w:rPr>
        <w:t>with the Union’s obligations under international law.</w:t>
      </w:r>
    </w:p>
    <w:p w14:paraId="7B4D770A" w14:textId="33F84728" w:rsidR="00C97EEC" w:rsidRDefault="00D8555D" w:rsidP="00807C9E">
      <w:pPr>
        <w:pStyle w:val="Heading3"/>
        <w:rPr>
          <w:noProof/>
        </w:rPr>
      </w:pPr>
      <w:bookmarkStart w:id="45" w:name="_Toc234227853"/>
      <w:bookmarkStart w:id="46" w:name="_Ref227150596"/>
      <w:r w:rsidRPr="00807C9E">
        <w:rPr>
          <w:noProof/>
        </w:rPr>
        <w:t>Transparency</w:t>
      </w:r>
      <w:bookmarkEnd w:id="45"/>
      <w:r w:rsidR="00A55D14">
        <w:rPr>
          <w:noProof/>
        </w:rPr>
        <w:t xml:space="preserve"> </w:t>
      </w:r>
      <w:bookmarkEnd w:id="46"/>
    </w:p>
    <w:p w14:paraId="01ED5396" w14:textId="1F354E31" w:rsidR="00A55D14" w:rsidRPr="00FB2F78" w:rsidRDefault="00A55D14" w:rsidP="004A1922">
      <w:pPr>
        <w:rPr>
          <w:noProof/>
        </w:rPr>
      </w:pPr>
      <w:r w:rsidRPr="00E52037">
        <w:rPr>
          <w:noProof/>
        </w:rPr>
        <w:t xml:space="preserve">Enhancing transparency is a key objective of </w:t>
      </w:r>
      <w:r w:rsidRPr="00E52037" w:rsidDel="004B1AED">
        <w:rPr>
          <w:noProof/>
        </w:rPr>
        <w:t>th</w:t>
      </w:r>
      <w:r w:rsidR="00001A38">
        <w:rPr>
          <w:noProof/>
        </w:rPr>
        <w:t>e</w:t>
      </w:r>
      <w:r w:rsidRPr="00E52037" w:rsidDel="004B1AED">
        <w:rPr>
          <w:noProof/>
        </w:rPr>
        <w:t xml:space="preserve"> </w:t>
      </w:r>
      <w:r w:rsidRPr="00E52037">
        <w:rPr>
          <w:noProof/>
        </w:rPr>
        <w:t xml:space="preserve">Report. Transparency is essential to ensure predictability, facilitate compliance, and strengthen stakeholders’ understanding of the application of the </w:t>
      </w:r>
      <w:r w:rsidR="00FB2F78">
        <w:rPr>
          <w:noProof/>
        </w:rPr>
        <w:t>FSR</w:t>
      </w:r>
      <w:r w:rsidRPr="00FB2F78">
        <w:rPr>
          <w:noProof/>
        </w:rPr>
        <w:t xml:space="preserve">. In this context, the Report </w:t>
      </w:r>
      <w:r w:rsidR="00001A38">
        <w:rPr>
          <w:noProof/>
        </w:rPr>
        <w:t xml:space="preserve">and this SWD </w:t>
      </w:r>
      <w:r w:rsidRPr="00FB2F78">
        <w:rPr>
          <w:noProof/>
        </w:rPr>
        <w:t>aim to provide further insight into the Commission’s implementation and enforcement of the Regulation during the initial phase of its application.</w:t>
      </w:r>
    </w:p>
    <w:p w14:paraId="54AC5222" w14:textId="5B0578F4" w:rsidR="00A55D14" w:rsidRPr="00FB2F78" w:rsidRDefault="00A55D14" w:rsidP="004A1922">
      <w:pPr>
        <w:rPr>
          <w:noProof/>
        </w:rPr>
      </w:pPr>
      <w:r w:rsidRPr="00FB2F78">
        <w:rPr>
          <w:noProof/>
        </w:rPr>
        <w:t xml:space="preserve">This objective builds on steps already taken by the Commission to </w:t>
      </w:r>
      <w:r w:rsidR="0067422D">
        <w:rPr>
          <w:noProof/>
        </w:rPr>
        <w:t>ensure</w:t>
      </w:r>
      <w:r w:rsidR="0067422D" w:rsidRPr="00FB2F78">
        <w:rPr>
          <w:noProof/>
        </w:rPr>
        <w:t xml:space="preserve"> </w:t>
      </w:r>
      <w:r w:rsidRPr="00FB2F78">
        <w:rPr>
          <w:noProof/>
        </w:rPr>
        <w:t xml:space="preserve">transparency. Since the entry into force of the FSR, the Commission has progressively expanded the information it makes available </w:t>
      </w:r>
      <w:r w:rsidR="00385ADF">
        <w:rPr>
          <w:noProof/>
        </w:rPr>
        <w:t>about</w:t>
      </w:r>
      <w:r w:rsidR="00385ADF" w:rsidRPr="00FB2F78">
        <w:rPr>
          <w:noProof/>
        </w:rPr>
        <w:t xml:space="preserve"> </w:t>
      </w:r>
      <w:r w:rsidRPr="00FB2F78">
        <w:rPr>
          <w:noProof/>
        </w:rPr>
        <w:t xml:space="preserve">its enforcement practice. </w:t>
      </w:r>
      <w:r w:rsidR="009D603E" w:rsidRPr="00FB2F78">
        <w:rPr>
          <w:noProof/>
        </w:rPr>
        <w:t xml:space="preserve">Notably, </w:t>
      </w:r>
      <w:r w:rsidR="009D603E">
        <w:rPr>
          <w:noProof/>
        </w:rPr>
        <w:t>DG COMP</w:t>
      </w:r>
      <w:r w:rsidR="009D603E" w:rsidRPr="00FB2F78">
        <w:rPr>
          <w:noProof/>
        </w:rPr>
        <w:t xml:space="preserve"> publishes on its website key details of</w:t>
      </w:r>
      <w:r w:rsidR="009D603E">
        <w:rPr>
          <w:noProof/>
        </w:rPr>
        <w:t xml:space="preserve"> all</w:t>
      </w:r>
      <w:r w:rsidR="009D603E" w:rsidRPr="00FB2F78">
        <w:rPr>
          <w:noProof/>
        </w:rPr>
        <w:t xml:space="preserve"> notified cases, including case number, parties involved, procedural timeline, and economic </w:t>
      </w:r>
      <w:r w:rsidR="009D603E">
        <w:rPr>
          <w:noProof/>
        </w:rPr>
        <w:t>activities</w:t>
      </w:r>
      <w:r w:rsidR="009D603E" w:rsidRPr="00FB2F78">
        <w:rPr>
          <w:noProof/>
        </w:rPr>
        <w:t xml:space="preserve"> concerned</w:t>
      </w:r>
      <w:r w:rsidR="00DE6218" w:rsidRPr="00DE6218">
        <w:rPr>
          <w:noProof/>
        </w:rPr>
        <w:t> (</w:t>
      </w:r>
      <w:r w:rsidR="00DE6218">
        <w:rPr>
          <w:rStyle w:val="FootnoteReference"/>
          <w:noProof/>
        </w:rPr>
        <w:footnoteReference w:id="31"/>
      </w:r>
      <w:r w:rsidR="00DE6218">
        <w:rPr>
          <w:noProof/>
        </w:rPr>
        <w:t>)</w:t>
      </w:r>
      <w:r w:rsidRPr="00FB2F78">
        <w:rPr>
          <w:noProof/>
        </w:rPr>
        <w:t xml:space="preserve">. </w:t>
      </w:r>
    </w:p>
    <w:p w14:paraId="71D7B61C" w14:textId="5B8AAC11" w:rsidR="00A55D14" w:rsidRPr="00FB2F78" w:rsidRDefault="00A55D14" w:rsidP="004A1922">
      <w:pPr>
        <w:rPr>
          <w:noProof/>
        </w:rPr>
      </w:pPr>
      <w:r w:rsidRPr="00FB2F78">
        <w:rPr>
          <w:noProof/>
        </w:rPr>
        <w:t>In addition, the Commission</w:t>
      </w:r>
      <w:r w:rsidR="00AC4EDA">
        <w:rPr>
          <w:noProof/>
        </w:rPr>
        <w:t xml:space="preserve"> services</w:t>
      </w:r>
      <w:r w:rsidRPr="00FB2F78">
        <w:rPr>
          <w:noProof/>
        </w:rPr>
        <w:t xml:space="preserve"> has taken measures to clarify the substantive framework for assessment under the FSR. </w:t>
      </w:r>
      <w:r w:rsidR="003B36EF">
        <w:rPr>
          <w:noProof/>
        </w:rPr>
        <w:t>While gaining</w:t>
      </w:r>
      <w:r w:rsidRPr="00FB2F78">
        <w:rPr>
          <w:noProof/>
        </w:rPr>
        <w:t xml:space="preserve"> experience in applying the Regulation, it has provided increasing guidance to stakeholders, thereby contributing to greater legal certainty.</w:t>
      </w:r>
      <w:r w:rsidR="005248B0">
        <w:rPr>
          <w:noProof/>
        </w:rPr>
        <w:t xml:space="preserve"> </w:t>
      </w:r>
      <w:r w:rsidR="005248B0" w:rsidDel="00D029E6">
        <w:rPr>
          <w:noProof/>
        </w:rPr>
        <w:t xml:space="preserve">Notably, </w:t>
      </w:r>
      <w:r w:rsidR="005248B0" w:rsidRPr="006B6656" w:rsidDel="00D029E6">
        <w:rPr>
          <w:noProof/>
        </w:rPr>
        <w:t xml:space="preserve">DG GROW provides online guidance to economic operators on whether to submit a notification or declaration and </w:t>
      </w:r>
      <w:r w:rsidR="00B41EBA" w:rsidDel="00D029E6">
        <w:rPr>
          <w:noProof/>
        </w:rPr>
        <w:t xml:space="preserve">on </w:t>
      </w:r>
      <w:r w:rsidR="005248B0" w:rsidRPr="006B6656" w:rsidDel="00D029E6">
        <w:rPr>
          <w:noProof/>
        </w:rPr>
        <w:t>how to complete</w:t>
      </w:r>
      <w:r w:rsidR="006D4604" w:rsidDel="00D029E6">
        <w:rPr>
          <w:noProof/>
        </w:rPr>
        <w:t xml:space="preserve"> </w:t>
      </w:r>
      <w:r w:rsidR="00B41EBA" w:rsidDel="00D029E6">
        <w:rPr>
          <w:noProof/>
        </w:rPr>
        <w:t>the sections of</w:t>
      </w:r>
      <w:r w:rsidR="006D4604" w:rsidDel="00D029E6">
        <w:rPr>
          <w:noProof/>
        </w:rPr>
        <w:t xml:space="preserve"> </w:t>
      </w:r>
      <w:r w:rsidR="006D4604" w:rsidDel="00385ADF">
        <w:rPr>
          <w:noProof/>
        </w:rPr>
        <w:t xml:space="preserve">the </w:t>
      </w:r>
      <w:r w:rsidR="006D4604" w:rsidDel="00D029E6">
        <w:rPr>
          <w:noProof/>
          <w:szCs w:val="24"/>
        </w:rPr>
        <w:t>Form FS-PP</w:t>
      </w:r>
      <w:r w:rsidR="00942847" w:rsidDel="00D029E6">
        <w:rPr>
          <w:noProof/>
          <w:szCs w:val="24"/>
        </w:rPr>
        <w:t xml:space="preserve"> </w:t>
      </w:r>
      <w:r w:rsidR="00385ADF">
        <w:rPr>
          <w:noProof/>
          <w:szCs w:val="24"/>
        </w:rPr>
        <w:t>on</w:t>
      </w:r>
      <w:r w:rsidR="00942847" w:rsidDel="00D029E6">
        <w:rPr>
          <w:noProof/>
          <w:szCs w:val="24"/>
        </w:rPr>
        <w:t xml:space="preserve"> the notification of FFCs in the context of public procurement procedures</w:t>
      </w:r>
      <w:r w:rsidR="005248B0" w:rsidRPr="006B6656" w:rsidDel="00D029E6">
        <w:rPr>
          <w:noProof/>
        </w:rPr>
        <w:t>.</w:t>
      </w:r>
    </w:p>
    <w:p w14:paraId="595EC7EB" w14:textId="340316B0" w:rsidR="000569D4" w:rsidRPr="00B76B79" w:rsidRDefault="00A55D14" w:rsidP="5B64F6DE">
      <w:pPr>
        <w:rPr>
          <w:noProof/>
        </w:rPr>
      </w:pPr>
      <w:r w:rsidRPr="00FB2F78">
        <w:rPr>
          <w:noProof/>
        </w:rPr>
        <w:t xml:space="preserve">In July 2024, </w:t>
      </w:r>
      <w:r w:rsidR="002C52DF" w:rsidRPr="00FB2F78" w:rsidDel="000F77D3">
        <w:rPr>
          <w:noProof/>
        </w:rPr>
        <w:t xml:space="preserve">a Staff Working Document </w:t>
      </w:r>
      <w:r w:rsidR="00AC4EDA">
        <w:rPr>
          <w:noProof/>
        </w:rPr>
        <w:t xml:space="preserve">was published, </w:t>
      </w:r>
      <w:r w:rsidR="002C52DF" w:rsidRPr="00FB2F78" w:rsidDel="000F77D3">
        <w:rPr>
          <w:noProof/>
        </w:rPr>
        <w:t xml:space="preserve">offering </w:t>
      </w:r>
      <w:r w:rsidR="002C52DF" w:rsidRPr="00FB2F78">
        <w:rPr>
          <w:noProof/>
        </w:rPr>
        <w:t xml:space="preserve">initial clarifications on key </w:t>
      </w:r>
      <w:r w:rsidR="002C52DF" w:rsidRPr="006419E4">
        <w:rPr>
          <w:noProof/>
        </w:rPr>
        <w:t>concept</w:t>
      </w:r>
      <w:r w:rsidR="002C52DF">
        <w:rPr>
          <w:noProof/>
        </w:rPr>
        <w:t>s</w:t>
      </w:r>
      <w:r w:rsidR="002C52DF" w:rsidRPr="006419E4">
        <w:rPr>
          <w:noProof/>
        </w:rPr>
        <w:t xml:space="preserve"> under the FSR</w:t>
      </w:r>
      <w:r w:rsidR="002C52DF">
        <w:rPr>
          <w:noProof/>
        </w:rPr>
        <w:t> </w:t>
      </w:r>
      <w:r w:rsidR="002C52DF" w:rsidRPr="006419E4">
        <w:rPr>
          <w:noProof/>
        </w:rPr>
        <w:t>(</w:t>
      </w:r>
      <w:r w:rsidR="002C52DF" w:rsidRPr="006419E4">
        <w:rPr>
          <w:rStyle w:val="FootnoteReference"/>
          <w:noProof/>
        </w:rPr>
        <w:footnoteReference w:id="32"/>
      </w:r>
      <w:r w:rsidR="002C52DF" w:rsidRPr="006419E4">
        <w:rPr>
          <w:noProof/>
        </w:rPr>
        <w:t>)</w:t>
      </w:r>
      <w:r w:rsidR="002C52DF">
        <w:rPr>
          <w:noProof/>
        </w:rPr>
        <w:t>.</w:t>
      </w:r>
      <w:r w:rsidR="002C52DF" w:rsidRPr="006419E4">
        <w:rPr>
          <w:noProof/>
        </w:rPr>
        <w:t xml:space="preserve"> </w:t>
      </w:r>
      <w:r w:rsidR="002C52DF">
        <w:rPr>
          <w:noProof/>
        </w:rPr>
        <w:t>Features of the document included i</w:t>
      </w:r>
      <w:r w:rsidR="002C52DF" w:rsidRPr="00FB2F78">
        <w:rPr>
          <w:noProof/>
        </w:rPr>
        <w:t xml:space="preserve">nitial </w:t>
      </w:r>
      <w:r w:rsidR="002C52DF">
        <w:rPr>
          <w:noProof/>
        </w:rPr>
        <w:t>indications on how the Commission interprets substantive FSR</w:t>
      </w:r>
      <w:r w:rsidR="002C52DF" w:rsidRPr="00FB2F78">
        <w:rPr>
          <w:noProof/>
        </w:rPr>
        <w:t xml:space="preserve"> concepts</w:t>
      </w:r>
      <w:r w:rsidR="002C52DF">
        <w:rPr>
          <w:noProof/>
        </w:rPr>
        <w:t xml:space="preserve"> and, in particular, </w:t>
      </w:r>
      <w:r w:rsidR="002C52DF" w:rsidRPr="00FB2F78">
        <w:rPr>
          <w:noProof/>
        </w:rPr>
        <w:t xml:space="preserve">factors </w:t>
      </w:r>
      <w:r w:rsidR="002C52DF">
        <w:rPr>
          <w:noProof/>
        </w:rPr>
        <w:t xml:space="preserve">to be </w:t>
      </w:r>
      <w:r w:rsidR="002C52DF" w:rsidRPr="00FB2F78">
        <w:rPr>
          <w:noProof/>
        </w:rPr>
        <w:t xml:space="preserve">considered in </w:t>
      </w:r>
      <w:r w:rsidR="002C52DF" w:rsidRPr="00FB2F78" w:rsidDel="00CD569A">
        <w:rPr>
          <w:noProof/>
        </w:rPr>
        <w:t xml:space="preserve">assessing </w:t>
      </w:r>
      <w:r w:rsidR="002C52DF">
        <w:rPr>
          <w:noProof/>
        </w:rPr>
        <w:t xml:space="preserve">whether a </w:t>
      </w:r>
      <w:r w:rsidR="002C52DF" w:rsidRPr="00FB2F78">
        <w:rPr>
          <w:noProof/>
        </w:rPr>
        <w:t xml:space="preserve">distortion </w:t>
      </w:r>
      <w:r w:rsidR="002C52DF">
        <w:rPr>
          <w:noProof/>
        </w:rPr>
        <w:t xml:space="preserve">exists, </w:t>
      </w:r>
      <w:r w:rsidR="002C52DF" w:rsidRPr="00FB2F78">
        <w:rPr>
          <w:noProof/>
        </w:rPr>
        <w:t xml:space="preserve">and the methodology </w:t>
      </w:r>
      <w:r w:rsidR="002C52DF">
        <w:rPr>
          <w:noProof/>
        </w:rPr>
        <w:t xml:space="preserve">it would </w:t>
      </w:r>
      <w:r w:rsidR="002C52DF" w:rsidRPr="00FB2F78">
        <w:rPr>
          <w:noProof/>
        </w:rPr>
        <w:t>appl</w:t>
      </w:r>
      <w:r w:rsidR="002C52DF">
        <w:rPr>
          <w:noProof/>
        </w:rPr>
        <w:t>y</w:t>
      </w:r>
      <w:r w:rsidR="002C52DF" w:rsidRPr="00FB2F78">
        <w:rPr>
          <w:noProof/>
        </w:rPr>
        <w:t xml:space="preserve"> in the balancing test.</w:t>
      </w:r>
      <w:r w:rsidRPr="00FB2F78">
        <w:rPr>
          <w:noProof/>
        </w:rPr>
        <w:t xml:space="preserve"> Furthermore, the Commission </w:t>
      </w:r>
      <w:r w:rsidR="002C52DF">
        <w:rPr>
          <w:noProof/>
        </w:rPr>
        <w:t>services</w:t>
      </w:r>
      <w:r w:rsidRPr="00FB2F78">
        <w:rPr>
          <w:noProof/>
        </w:rPr>
        <w:t xml:space="preserve"> regularly update a set of </w:t>
      </w:r>
      <w:r w:rsidR="002C52DF">
        <w:rPr>
          <w:noProof/>
        </w:rPr>
        <w:t>dedicated FSR</w:t>
      </w:r>
      <w:r w:rsidRPr="00FB2F78">
        <w:rPr>
          <w:noProof/>
        </w:rPr>
        <w:t xml:space="preserve"> </w:t>
      </w:r>
      <w:r w:rsidR="00595ACB">
        <w:rPr>
          <w:noProof/>
        </w:rPr>
        <w:t>q</w:t>
      </w:r>
      <w:r w:rsidRPr="00FB2F78">
        <w:rPr>
          <w:noProof/>
        </w:rPr>
        <w:t xml:space="preserve">uestions </w:t>
      </w:r>
      <w:r w:rsidR="00FB2F78">
        <w:rPr>
          <w:noProof/>
        </w:rPr>
        <w:t xml:space="preserve">and </w:t>
      </w:r>
      <w:r w:rsidR="00595ACB">
        <w:rPr>
          <w:noProof/>
        </w:rPr>
        <w:t>a</w:t>
      </w:r>
      <w:r w:rsidR="00FB2F78">
        <w:rPr>
          <w:noProof/>
        </w:rPr>
        <w:t>nswers</w:t>
      </w:r>
      <w:r w:rsidR="00923D9F">
        <w:rPr>
          <w:noProof/>
        </w:rPr>
        <w:t xml:space="preserve"> </w:t>
      </w:r>
      <w:r w:rsidRPr="00FB2F78">
        <w:rPr>
          <w:noProof/>
        </w:rPr>
        <w:t>(</w:t>
      </w:r>
      <w:r w:rsidR="002C52DF">
        <w:rPr>
          <w:noProof/>
        </w:rPr>
        <w:t xml:space="preserve">‘FSR </w:t>
      </w:r>
      <w:r w:rsidR="001238DC">
        <w:rPr>
          <w:noProof/>
        </w:rPr>
        <w:t>‘</w:t>
      </w:r>
      <w:r w:rsidR="005F316A">
        <w:rPr>
          <w:noProof/>
        </w:rPr>
        <w:t>Q&amp;A</w:t>
      </w:r>
      <w:r w:rsidRPr="00E52037">
        <w:rPr>
          <w:noProof/>
        </w:rPr>
        <w:t>s</w:t>
      </w:r>
      <w:r w:rsidR="002C52DF">
        <w:rPr>
          <w:noProof/>
        </w:rPr>
        <w:t>’</w:t>
      </w:r>
      <w:r w:rsidR="001238DC">
        <w:rPr>
          <w:noProof/>
        </w:rPr>
        <w:t>’</w:t>
      </w:r>
      <w:r w:rsidRPr="00E52037">
        <w:rPr>
          <w:noProof/>
        </w:rPr>
        <w:t xml:space="preserve">) on </w:t>
      </w:r>
      <w:r w:rsidR="00001A38">
        <w:rPr>
          <w:noProof/>
        </w:rPr>
        <w:t>the Commission</w:t>
      </w:r>
      <w:r w:rsidR="00001A38" w:rsidRPr="00E52037">
        <w:rPr>
          <w:noProof/>
        </w:rPr>
        <w:t xml:space="preserve"> </w:t>
      </w:r>
      <w:r w:rsidRPr="00E52037">
        <w:rPr>
          <w:noProof/>
        </w:rPr>
        <w:t>website</w:t>
      </w:r>
      <w:r w:rsidR="00B729AE" w:rsidRPr="00B729AE">
        <w:rPr>
          <w:noProof/>
        </w:rPr>
        <w:t> (</w:t>
      </w:r>
      <w:r w:rsidR="00B729AE">
        <w:rPr>
          <w:rStyle w:val="FootnoteReference"/>
          <w:noProof/>
        </w:rPr>
        <w:footnoteReference w:id="33"/>
      </w:r>
      <w:r w:rsidR="00B729AE">
        <w:rPr>
          <w:noProof/>
        </w:rPr>
        <w:t>)</w:t>
      </w:r>
      <w:r w:rsidR="00D30EF0">
        <w:rPr>
          <w:noProof/>
        </w:rPr>
        <w:t>.</w:t>
      </w:r>
      <w:r w:rsidRPr="00FB2F78">
        <w:rPr>
          <w:noProof/>
        </w:rPr>
        <w:t xml:space="preserve"> These updates address recurring issues arising in practice and provide additional guidance on a range of topics, including procedural and jurisdictional aspects (such as notification obligations, threshold calculations, and </w:t>
      </w:r>
      <w:r w:rsidR="00385ADF">
        <w:rPr>
          <w:noProof/>
        </w:rPr>
        <w:t>FFCs</w:t>
      </w:r>
      <w:r w:rsidRPr="00FB2F78">
        <w:rPr>
          <w:noProof/>
        </w:rPr>
        <w:t>).</w:t>
      </w:r>
      <w:r w:rsidR="00D029E6">
        <w:rPr>
          <w:noProof/>
        </w:rPr>
        <w:t xml:space="preserve"> </w:t>
      </w:r>
      <w:r w:rsidR="000569D4">
        <w:rPr>
          <w:noProof/>
        </w:rPr>
        <w:t>The Commission also publishes dedicated FSR briefs on specific policy developments (such as the first 100 days of enforcement of the FSR</w:t>
      </w:r>
      <w:r w:rsidR="00B729AE" w:rsidRPr="3BBF2765">
        <w:rPr>
          <w:noProof/>
        </w:rPr>
        <w:t> (</w:t>
      </w:r>
      <w:r w:rsidR="00B729AE">
        <w:rPr>
          <w:rStyle w:val="FootnoteReference"/>
          <w:noProof/>
        </w:rPr>
        <w:footnoteReference w:id="34"/>
      </w:r>
      <w:r w:rsidR="00B729AE" w:rsidRPr="3BBF2765">
        <w:rPr>
          <w:noProof/>
        </w:rPr>
        <w:t>)</w:t>
      </w:r>
      <w:r w:rsidR="000569D4">
        <w:rPr>
          <w:noProof/>
        </w:rPr>
        <w:t xml:space="preserve"> and on </w:t>
      </w:r>
      <w:r w:rsidR="00B76B79">
        <w:rPr>
          <w:noProof/>
        </w:rPr>
        <w:t>FSR Guidelines</w:t>
      </w:r>
      <w:r w:rsidR="00DE3B6D">
        <w:rPr>
          <w:noProof/>
        </w:rPr>
        <w:t xml:space="preserve"> </w:t>
      </w:r>
      <w:r w:rsidR="000569D4">
        <w:rPr>
          <w:noProof/>
        </w:rPr>
        <w:t>and on case practice (such as the brief on the first final decision with commitments adopted in case FS.100011)</w:t>
      </w:r>
      <w:r w:rsidR="00B729AE" w:rsidRPr="3BBF2765">
        <w:rPr>
          <w:noProof/>
        </w:rPr>
        <w:t> (</w:t>
      </w:r>
      <w:r w:rsidR="00B729AE">
        <w:rPr>
          <w:rStyle w:val="FootnoteReference"/>
          <w:noProof/>
        </w:rPr>
        <w:footnoteReference w:id="35"/>
      </w:r>
      <w:r w:rsidR="00B729AE" w:rsidRPr="3BBF2765">
        <w:rPr>
          <w:noProof/>
        </w:rPr>
        <w:t>)</w:t>
      </w:r>
      <w:r w:rsidR="00D30EF0">
        <w:rPr>
          <w:noProof/>
        </w:rPr>
        <w:t>.</w:t>
      </w:r>
      <w:r w:rsidR="78822950" w:rsidRPr="3BBF2765">
        <w:rPr>
          <w:noProof/>
        </w:rPr>
        <w:t xml:space="preserve"> </w:t>
      </w:r>
      <w:r w:rsidR="46D94E6C" w:rsidRPr="00A47B29">
        <w:rPr>
          <w:noProof/>
          <w:szCs w:val="24"/>
        </w:rPr>
        <w:t xml:space="preserve">Additionally, </w:t>
      </w:r>
      <w:r w:rsidR="27A1F7C0" w:rsidRPr="00A47B29">
        <w:rPr>
          <w:noProof/>
          <w:szCs w:val="24"/>
        </w:rPr>
        <w:t xml:space="preserve">the Commission maintains a rigorous communication strategy </w:t>
      </w:r>
      <w:r w:rsidR="00065D3B">
        <w:rPr>
          <w:noProof/>
          <w:szCs w:val="24"/>
        </w:rPr>
        <w:t xml:space="preserve">on its in-depth investigations </w:t>
      </w:r>
      <w:r w:rsidR="27A1F7C0" w:rsidRPr="00A47B29">
        <w:rPr>
          <w:noProof/>
          <w:szCs w:val="24"/>
        </w:rPr>
        <w:t>via press releases and daily news bulletins to provide stakeholders with timely updates on critical procedural milestones. This practice enhances administrative transparency and procedural predictability.</w:t>
      </w:r>
    </w:p>
    <w:p w14:paraId="301A09A8" w14:textId="5E233507" w:rsidR="00A55D14" w:rsidRPr="00B76B79" w:rsidRDefault="00A55D14" w:rsidP="004A1922">
      <w:pPr>
        <w:rPr>
          <w:noProof/>
        </w:rPr>
      </w:pPr>
      <w:r w:rsidRPr="00B76B79">
        <w:rPr>
          <w:noProof/>
        </w:rPr>
        <w:t xml:space="preserve">Finally, </w:t>
      </w:r>
      <w:r w:rsidR="003B36EF">
        <w:rPr>
          <w:noProof/>
        </w:rPr>
        <w:t xml:space="preserve">as already mentioned in </w:t>
      </w:r>
      <w:r w:rsidR="003B36EF" w:rsidRPr="00DF3638">
        <w:rPr>
          <w:noProof/>
        </w:rPr>
        <w:t xml:space="preserve">Section </w:t>
      </w:r>
      <w:r w:rsidR="00B76B79" w:rsidRPr="00E52037">
        <w:rPr>
          <w:noProof/>
        </w:rPr>
        <w:fldChar w:fldCharType="begin"/>
      </w:r>
      <w:r w:rsidR="00B76B79" w:rsidRPr="00E52037">
        <w:rPr>
          <w:noProof/>
        </w:rPr>
        <w:instrText xml:space="preserve"> REF _Ref227150420 \r \h </w:instrText>
      </w:r>
      <w:r w:rsidR="00B76B79">
        <w:rPr>
          <w:noProof/>
        </w:rPr>
        <w:instrText xml:space="preserve"> \* MERGEFORMAT </w:instrText>
      </w:r>
      <w:r w:rsidR="00B76B79" w:rsidRPr="00E52037">
        <w:rPr>
          <w:noProof/>
        </w:rPr>
      </w:r>
      <w:r w:rsidR="00B76B79" w:rsidRPr="00E52037">
        <w:rPr>
          <w:noProof/>
        </w:rPr>
        <w:fldChar w:fldCharType="separate"/>
      </w:r>
      <w:r w:rsidR="00227418">
        <w:rPr>
          <w:noProof/>
        </w:rPr>
        <w:t>3.1.2</w:t>
      </w:r>
      <w:r w:rsidR="00B76B79" w:rsidRPr="00E52037">
        <w:rPr>
          <w:noProof/>
        </w:rPr>
        <w:fldChar w:fldCharType="end"/>
      </w:r>
      <w:r w:rsidR="003B36EF">
        <w:rPr>
          <w:noProof/>
        </w:rPr>
        <w:t xml:space="preserve">, </w:t>
      </w:r>
      <w:r w:rsidR="00DE3B6D">
        <w:rPr>
          <w:noProof/>
        </w:rPr>
        <w:t>t</w:t>
      </w:r>
      <w:r w:rsidR="003B36EF">
        <w:rPr>
          <w:noProof/>
        </w:rPr>
        <w:t>he FSR Guidelines</w:t>
      </w:r>
      <w:r w:rsidR="00DE3B6D">
        <w:rPr>
          <w:noProof/>
        </w:rPr>
        <w:t>, published in January 2026,</w:t>
      </w:r>
      <w:r w:rsidR="003B36EF">
        <w:rPr>
          <w:noProof/>
        </w:rPr>
        <w:t xml:space="preserve"> </w:t>
      </w:r>
      <w:r w:rsidRPr="00B76B79">
        <w:rPr>
          <w:noProof/>
        </w:rPr>
        <w:t xml:space="preserve">represent a key milestone in enhancing predictability and transparency for companies. </w:t>
      </w:r>
      <w:r w:rsidR="003B36EF">
        <w:rPr>
          <w:noProof/>
        </w:rPr>
        <w:t>They</w:t>
      </w:r>
      <w:r w:rsidRPr="00B76B79">
        <w:rPr>
          <w:noProof/>
        </w:rPr>
        <w:t xml:space="preserve"> clarify, inter alia, how the Commission determines whether a foreign subsidy distorts competition, how it balances any negative effects against potential positive effects, and how it may exercise its power to require </w:t>
      </w:r>
      <w:r w:rsidR="00FC5B98">
        <w:rPr>
          <w:noProof/>
        </w:rPr>
        <w:t xml:space="preserve">prior </w:t>
      </w:r>
      <w:r w:rsidRPr="00B76B79">
        <w:rPr>
          <w:noProof/>
        </w:rPr>
        <w:t>notification of concentrations</w:t>
      </w:r>
      <w:r w:rsidR="00FC5B98">
        <w:rPr>
          <w:noProof/>
        </w:rPr>
        <w:t xml:space="preserve"> or public procurement procedures</w:t>
      </w:r>
      <w:r w:rsidRPr="00B76B79">
        <w:rPr>
          <w:noProof/>
        </w:rPr>
        <w:t xml:space="preserve"> falling below the established thresholds.</w:t>
      </w:r>
    </w:p>
    <w:p w14:paraId="3E988E6E" w14:textId="667F6AF6" w:rsidR="00D8555D" w:rsidRDefault="00D8555D" w:rsidP="00807C9E">
      <w:pPr>
        <w:pStyle w:val="Heading3"/>
        <w:rPr>
          <w:noProof/>
        </w:rPr>
      </w:pPr>
      <w:bookmarkStart w:id="47" w:name="_Toc234227854"/>
      <w:r w:rsidRPr="00807C9E">
        <w:rPr>
          <w:noProof/>
        </w:rPr>
        <w:t>Simplification</w:t>
      </w:r>
      <w:bookmarkEnd w:id="47"/>
    </w:p>
    <w:p w14:paraId="52C95A3B" w14:textId="03693A56" w:rsidR="00A55D14" w:rsidRPr="00B76B79" w:rsidRDefault="001265EF" w:rsidP="004A1922">
      <w:pPr>
        <w:rPr>
          <w:noProof/>
        </w:rPr>
      </w:pPr>
      <w:r w:rsidRPr="001265EF">
        <w:rPr>
          <w:noProof/>
        </w:rPr>
        <w:t xml:space="preserve">Assessing the </w:t>
      </w:r>
      <w:r w:rsidR="008337D4">
        <w:rPr>
          <w:noProof/>
        </w:rPr>
        <w:t>need and</w:t>
      </w:r>
      <w:r w:rsidRPr="001265EF">
        <w:rPr>
          <w:noProof/>
        </w:rPr>
        <w:t xml:space="preserve"> scope for</w:t>
      </w:r>
      <w:r>
        <w:rPr>
          <w:noProof/>
        </w:rPr>
        <w:t xml:space="preserve"> </w:t>
      </w:r>
      <w:r w:rsidR="008337D4">
        <w:rPr>
          <w:noProof/>
        </w:rPr>
        <w:t>potential</w:t>
      </w:r>
      <w:r>
        <w:rPr>
          <w:noProof/>
        </w:rPr>
        <w:t xml:space="preserve"> s</w:t>
      </w:r>
      <w:r w:rsidR="00A55D14" w:rsidRPr="00B76B79">
        <w:rPr>
          <w:noProof/>
        </w:rPr>
        <w:t xml:space="preserve">implification is another key </w:t>
      </w:r>
      <w:r w:rsidR="00923D9F">
        <w:rPr>
          <w:noProof/>
        </w:rPr>
        <w:t>element</w:t>
      </w:r>
      <w:r w:rsidR="00923D9F" w:rsidRPr="00B76B79">
        <w:rPr>
          <w:noProof/>
        </w:rPr>
        <w:t xml:space="preserve"> </w:t>
      </w:r>
      <w:r w:rsidR="00A55D14" w:rsidRPr="00B76B79">
        <w:rPr>
          <w:noProof/>
        </w:rPr>
        <w:t xml:space="preserve">of </w:t>
      </w:r>
      <w:r w:rsidR="004B1AED">
        <w:rPr>
          <w:noProof/>
        </w:rPr>
        <w:t>the</w:t>
      </w:r>
      <w:r w:rsidR="004B1AED" w:rsidRPr="00B76B79">
        <w:rPr>
          <w:noProof/>
        </w:rPr>
        <w:t xml:space="preserve"> </w:t>
      </w:r>
      <w:r w:rsidR="00A55D14" w:rsidRPr="00584AD4">
        <w:rPr>
          <w:noProof/>
        </w:rPr>
        <w:t>Report</w:t>
      </w:r>
      <w:r w:rsidR="003B36EF">
        <w:rPr>
          <w:noProof/>
        </w:rPr>
        <w:t xml:space="preserve">. </w:t>
      </w:r>
    </w:p>
    <w:p w14:paraId="1197587C" w14:textId="266B5948" w:rsidR="00A55D14" w:rsidRPr="00B76B79" w:rsidRDefault="00923D9F" w:rsidP="004A1922">
      <w:pPr>
        <w:rPr>
          <w:noProof/>
        </w:rPr>
      </w:pPr>
      <w:r>
        <w:rPr>
          <w:noProof/>
        </w:rPr>
        <w:t>A</w:t>
      </w:r>
      <w:r w:rsidR="008337D4">
        <w:rPr>
          <w:noProof/>
        </w:rPr>
        <w:t xml:space="preserve">ssessing the need </w:t>
      </w:r>
      <w:r>
        <w:rPr>
          <w:noProof/>
        </w:rPr>
        <w:t>and possibility</w:t>
      </w:r>
      <w:r w:rsidR="008337D4">
        <w:rPr>
          <w:noProof/>
        </w:rPr>
        <w:t xml:space="preserve"> for</w:t>
      </w:r>
      <w:r w:rsidR="00FC5B98">
        <w:rPr>
          <w:noProof/>
        </w:rPr>
        <w:t xml:space="preserve"> simplification</w:t>
      </w:r>
      <w:r w:rsidR="00A55D14" w:rsidRPr="00B76B79">
        <w:rPr>
          <w:noProof/>
        </w:rPr>
        <w:t xml:space="preserve"> is aligned with the Commission’s </w:t>
      </w:r>
      <w:r w:rsidR="00A02515">
        <w:rPr>
          <w:noProof/>
        </w:rPr>
        <w:t>current</w:t>
      </w:r>
      <w:r w:rsidR="00A02515" w:rsidRPr="00B76B79">
        <w:rPr>
          <w:noProof/>
        </w:rPr>
        <w:t xml:space="preserve"> </w:t>
      </w:r>
      <w:r w:rsidR="00A55D14" w:rsidRPr="00B76B79">
        <w:rPr>
          <w:noProof/>
        </w:rPr>
        <w:t xml:space="preserve">policy priorities. Speed, coherence, and simplification are central principles guiding the Commission’s work. The Political Guidelines </w:t>
      </w:r>
      <w:r w:rsidR="0080424E">
        <w:rPr>
          <w:noProof/>
        </w:rPr>
        <w:t xml:space="preserve">and the Commission Work Programme 2025 </w:t>
      </w:r>
      <w:r w:rsidR="00A55D14" w:rsidRPr="00B76B79">
        <w:rPr>
          <w:noProof/>
        </w:rPr>
        <w:t>emphasise that simplifying EU policies and legislation, as well as improving their implementation, is crucial to making it easier and faster to do business in Europe.</w:t>
      </w:r>
      <w:r>
        <w:rPr>
          <w:noProof/>
        </w:rPr>
        <w:t xml:space="preserve"> </w:t>
      </w:r>
      <w:r w:rsidR="00A55D14" w:rsidRPr="00B76B79">
        <w:rPr>
          <w:noProof/>
        </w:rPr>
        <w:t xml:space="preserve">These efforts are also at the core of the Commission’s strategy to strengthen </w:t>
      </w:r>
      <w:r w:rsidR="00FC7FB5">
        <w:rPr>
          <w:noProof/>
        </w:rPr>
        <w:t>Union’s</w:t>
      </w:r>
      <w:r w:rsidR="00FC7FB5" w:rsidRPr="00B76B79">
        <w:rPr>
          <w:noProof/>
        </w:rPr>
        <w:t xml:space="preserve"> </w:t>
      </w:r>
      <w:r w:rsidR="00A55D14" w:rsidRPr="00B76B79">
        <w:rPr>
          <w:noProof/>
        </w:rPr>
        <w:t>competitiveness</w:t>
      </w:r>
      <w:r w:rsidR="00A02515">
        <w:rPr>
          <w:noProof/>
        </w:rPr>
        <w:t>, as developed in the Commission's Competitiveness Compass</w:t>
      </w:r>
      <w:r w:rsidR="00A02515" w:rsidRPr="00A02515">
        <w:rPr>
          <w:noProof/>
        </w:rPr>
        <w:t> (</w:t>
      </w:r>
      <w:r w:rsidR="00A02515">
        <w:rPr>
          <w:rStyle w:val="FootnoteReference"/>
          <w:noProof/>
        </w:rPr>
        <w:footnoteReference w:id="36"/>
      </w:r>
      <w:r w:rsidR="00A02515">
        <w:rPr>
          <w:noProof/>
        </w:rPr>
        <w:t>)</w:t>
      </w:r>
      <w:r w:rsidR="00A55D14" w:rsidRPr="00B76B79">
        <w:rPr>
          <w:noProof/>
        </w:rPr>
        <w:t>.</w:t>
      </w:r>
    </w:p>
    <w:p w14:paraId="008321F2" w14:textId="57DAF2A4" w:rsidR="00D8555D" w:rsidRDefault="00D8555D" w:rsidP="00807C9E">
      <w:pPr>
        <w:pStyle w:val="Heading3"/>
        <w:rPr>
          <w:noProof/>
        </w:rPr>
      </w:pPr>
      <w:bookmarkStart w:id="48" w:name="_Toc234227855"/>
      <w:r w:rsidRPr="00807C9E">
        <w:rPr>
          <w:noProof/>
        </w:rPr>
        <w:t>Optimisation</w:t>
      </w:r>
      <w:r>
        <w:rPr>
          <w:noProof/>
        </w:rPr>
        <w:t xml:space="preserve"> of work</w:t>
      </w:r>
      <w:bookmarkEnd w:id="48"/>
    </w:p>
    <w:p w14:paraId="7BDBFCC1" w14:textId="134CFCBD" w:rsidR="00A55D14" w:rsidRDefault="0067422D" w:rsidP="004A1922">
      <w:pPr>
        <w:rPr>
          <w:noProof/>
        </w:rPr>
      </w:pPr>
      <w:r w:rsidRPr="0067422D">
        <w:rPr>
          <w:noProof/>
        </w:rPr>
        <w:t>Consistent with the above, based on</w:t>
      </w:r>
      <w:r w:rsidR="009F5F87">
        <w:rPr>
          <w:noProof/>
        </w:rPr>
        <w:t xml:space="preserve"> </w:t>
      </w:r>
      <w:r w:rsidRPr="0067422D">
        <w:rPr>
          <w:noProof/>
        </w:rPr>
        <w:t xml:space="preserve">the </w:t>
      </w:r>
      <w:r w:rsidR="009F5F87">
        <w:rPr>
          <w:noProof/>
        </w:rPr>
        <w:t>findings outlined in the Report</w:t>
      </w:r>
      <w:r w:rsidR="00DE3B6D">
        <w:rPr>
          <w:noProof/>
        </w:rPr>
        <w:t>,</w:t>
      </w:r>
      <w:r>
        <w:rPr>
          <w:noProof/>
        </w:rPr>
        <w:t xml:space="preserve"> further optimis</w:t>
      </w:r>
      <w:r w:rsidR="00AC4EDA">
        <w:rPr>
          <w:noProof/>
        </w:rPr>
        <w:t>ation of</w:t>
      </w:r>
      <w:r>
        <w:rPr>
          <w:noProof/>
        </w:rPr>
        <w:t xml:space="preserve"> the enforcement of the FSR and </w:t>
      </w:r>
      <w:r w:rsidR="00A55D14">
        <w:rPr>
          <w:noProof/>
        </w:rPr>
        <w:t>a</w:t>
      </w:r>
      <w:r w:rsidR="00923D9F">
        <w:rPr>
          <w:noProof/>
        </w:rPr>
        <w:t>n</w:t>
      </w:r>
      <w:r w:rsidR="00A55D14">
        <w:rPr>
          <w:noProof/>
        </w:rPr>
        <w:t xml:space="preserve"> efficient use of available resources </w:t>
      </w:r>
      <w:r w:rsidR="00AC4EDA">
        <w:rPr>
          <w:noProof/>
        </w:rPr>
        <w:t xml:space="preserve">should be ensured </w:t>
      </w:r>
      <w:r w:rsidR="00A55D14">
        <w:rPr>
          <w:noProof/>
        </w:rPr>
        <w:t xml:space="preserve">by enabling </w:t>
      </w:r>
      <w:r w:rsidR="00DE3B6D">
        <w:rPr>
          <w:noProof/>
        </w:rPr>
        <w:t>a</w:t>
      </w:r>
      <w:r w:rsidR="00A55D14">
        <w:rPr>
          <w:noProof/>
        </w:rPr>
        <w:t xml:space="preserve"> focus on cases </w:t>
      </w:r>
      <w:r w:rsidR="006A64C0">
        <w:rPr>
          <w:noProof/>
        </w:rPr>
        <w:t xml:space="preserve">and sectors </w:t>
      </w:r>
      <w:r w:rsidR="00A55D14">
        <w:rPr>
          <w:noProof/>
        </w:rPr>
        <w:t xml:space="preserve">where the risk of distortion caused by foreign subsidies is most </w:t>
      </w:r>
      <w:r>
        <w:rPr>
          <w:noProof/>
        </w:rPr>
        <w:t>prominent</w:t>
      </w:r>
      <w:r w:rsidR="00A55D14">
        <w:rPr>
          <w:noProof/>
        </w:rPr>
        <w:t>.</w:t>
      </w:r>
    </w:p>
    <w:p w14:paraId="417C6CA1" w14:textId="2DF5181B" w:rsidR="00A55D14" w:rsidRDefault="00A55D14" w:rsidP="004A1922">
      <w:pPr>
        <w:rPr>
          <w:noProof/>
        </w:rPr>
      </w:pPr>
      <w:bookmarkStart w:id="49" w:name="_Hlk228890134"/>
      <w:r>
        <w:rPr>
          <w:noProof/>
        </w:rPr>
        <w:t>In the initial phase of implementation, the application of the Regulation required the establishment of new processes and the allocation of administrative resources.</w:t>
      </w:r>
      <w:r w:rsidR="0067422D">
        <w:rPr>
          <w:noProof/>
        </w:rPr>
        <w:t xml:space="preserve"> </w:t>
      </w:r>
      <w:r w:rsidR="00AB3599">
        <w:rPr>
          <w:noProof/>
        </w:rPr>
        <w:t xml:space="preserve">To </w:t>
      </w:r>
      <w:r w:rsidR="00AB3599" w:rsidRPr="00AB3599">
        <w:rPr>
          <w:noProof/>
        </w:rPr>
        <w:t>enable effective implementation, the Commission has allocated dedicated resources for the enforcement of the FSR, including a dedicated directorate within DG COMP, and a dedicated unit within DG GROW</w:t>
      </w:r>
      <w:r w:rsidR="0052529E">
        <w:rPr>
          <w:noProof/>
        </w:rPr>
        <w:t>.</w:t>
      </w:r>
      <w:r w:rsidR="00AB3599" w:rsidRPr="00AB3599">
        <w:rPr>
          <w:noProof/>
        </w:rPr>
        <w:t xml:space="preserve"> Drawing on experience with the enforcement of other competition instruments and public procurement practices, relevant procedures have been implemented</w:t>
      </w:r>
      <w:r w:rsidR="004D29D5">
        <w:rPr>
          <w:noProof/>
        </w:rPr>
        <w:t xml:space="preserve"> </w:t>
      </w:r>
      <w:r w:rsidR="00230AD6">
        <w:rPr>
          <w:noProof/>
        </w:rPr>
        <w:t>to enable the efficient review of cases</w:t>
      </w:r>
      <w:r w:rsidR="00D30EF0">
        <w:rPr>
          <w:noProof/>
        </w:rPr>
        <w:t> </w:t>
      </w:r>
      <w:r w:rsidR="00230AD6" w:rsidRPr="00230AD6">
        <w:rPr>
          <w:noProof/>
        </w:rPr>
        <w:t>(</w:t>
      </w:r>
      <w:r w:rsidR="00230AD6">
        <w:rPr>
          <w:rStyle w:val="FootnoteReference"/>
          <w:noProof/>
        </w:rPr>
        <w:footnoteReference w:id="37"/>
      </w:r>
      <w:r w:rsidR="00230AD6">
        <w:rPr>
          <w:noProof/>
        </w:rPr>
        <w:t>)</w:t>
      </w:r>
      <w:r w:rsidR="00D30EF0">
        <w:rPr>
          <w:noProof/>
        </w:rPr>
        <w:t>.</w:t>
      </w:r>
      <w:bookmarkEnd w:id="49"/>
    </w:p>
    <w:p w14:paraId="6DF4FBD1" w14:textId="05CB8782" w:rsidR="00E072C6" w:rsidRDefault="00E072C6" w:rsidP="00807C9E">
      <w:pPr>
        <w:pStyle w:val="Heading3"/>
        <w:rPr>
          <w:noProof/>
        </w:rPr>
      </w:pPr>
      <w:bookmarkStart w:id="52" w:name="_Toc234227856"/>
      <w:r w:rsidRPr="00E072C6">
        <w:rPr>
          <w:noProof/>
        </w:rPr>
        <w:t xml:space="preserve">Observation </w:t>
      </w:r>
      <w:r w:rsidRPr="00807C9E">
        <w:rPr>
          <w:noProof/>
        </w:rPr>
        <w:t>o</w:t>
      </w:r>
      <w:r w:rsidR="009640D6">
        <w:rPr>
          <w:noProof/>
        </w:rPr>
        <w:t>n</w:t>
      </w:r>
      <w:r w:rsidRPr="00E072C6">
        <w:rPr>
          <w:noProof/>
        </w:rPr>
        <w:t xml:space="preserve"> international obligations</w:t>
      </w:r>
      <w:bookmarkEnd w:id="52"/>
    </w:p>
    <w:p w14:paraId="03BB1963" w14:textId="4B76A600" w:rsidR="00A55D14" w:rsidRPr="00B76B79" w:rsidRDefault="00A55D14" w:rsidP="004A1922">
      <w:pPr>
        <w:rPr>
          <w:noProof/>
        </w:rPr>
      </w:pPr>
      <w:r w:rsidRPr="00B76B79">
        <w:rPr>
          <w:noProof/>
        </w:rPr>
        <w:t xml:space="preserve">Ensuring consistency with the Union’s international obligations constitutes an overarching objective of </w:t>
      </w:r>
      <w:r w:rsidR="004B1AED">
        <w:rPr>
          <w:noProof/>
        </w:rPr>
        <w:t>the</w:t>
      </w:r>
      <w:r w:rsidR="004B1AED" w:rsidRPr="00B76B79">
        <w:rPr>
          <w:noProof/>
        </w:rPr>
        <w:t xml:space="preserve"> </w:t>
      </w:r>
      <w:r w:rsidRPr="00B76B79">
        <w:rPr>
          <w:noProof/>
        </w:rPr>
        <w:t xml:space="preserve">Report. Any recommendations put forward in pursuit of greater transparency, simplification, and optimisation must remain aligned with the EU’s </w:t>
      </w:r>
      <w:r w:rsidR="00454C66">
        <w:rPr>
          <w:noProof/>
        </w:rPr>
        <w:t>obligations</w:t>
      </w:r>
      <w:r w:rsidR="00454C66" w:rsidRPr="00B76B79">
        <w:rPr>
          <w:noProof/>
        </w:rPr>
        <w:t xml:space="preserve"> </w:t>
      </w:r>
      <w:r w:rsidRPr="00B76B79">
        <w:rPr>
          <w:noProof/>
        </w:rPr>
        <w:t xml:space="preserve">under international </w:t>
      </w:r>
      <w:r w:rsidR="00454C66">
        <w:rPr>
          <w:noProof/>
        </w:rPr>
        <w:t>agreements</w:t>
      </w:r>
      <w:r w:rsidRPr="00B76B79">
        <w:rPr>
          <w:noProof/>
        </w:rPr>
        <w:t>.</w:t>
      </w:r>
    </w:p>
    <w:p w14:paraId="3BC9A902" w14:textId="30AF1085" w:rsidR="00A55D14" w:rsidRPr="00B76B79" w:rsidRDefault="00A55D14" w:rsidP="004A1922">
      <w:pPr>
        <w:rPr>
          <w:noProof/>
        </w:rPr>
      </w:pPr>
      <w:r w:rsidRPr="00B76B79">
        <w:rPr>
          <w:noProof/>
        </w:rPr>
        <w:t>The</w:t>
      </w:r>
      <w:r w:rsidRPr="00B76B79" w:rsidDel="003E419B">
        <w:rPr>
          <w:noProof/>
        </w:rPr>
        <w:t xml:space="preserve"> </w:t>
      </w:r>
      <w:r w:rsidRPr="00B76B79">
        <w:rPr>
          <w:noProof/>
        </w:rPr>
        <w:t xml:space="preserve">Regulation operates in a global economic context and </w:t>
      </w:r>
      <w:r w:rsidR="007D30DF" w:rsidRPr="00B76B79">
        <w:rPr>
          <w:noProof/>
        </w:rPr>
        <w:t>interacts with existing international frameworks, including those governing subsidies and trade</w:t>
      </w:r>
      <w:r w:rsidRPr="00B76B79">
        <w:rPr>
          <w:noProof/>
        </w:rPr>
        <w:t>. It is therefore essential that its implementation respects the Union’s obligations under, inter alia, the World Trade Organi</w:t>
      </w:r>
      <w:r w:rsidR="00065D3B">
        <w:rPr>
          <w:noProof/>
        </w:rPr>
        <w:t>s</w:t>
      </w:r>
      <w:r w:rsidRPr="00B76B79">
        <w:rPr>
          <w:noProof/>
        </w:rPr>
        <w:t>ation framework.</w:t>
      </w:r>
    </w:p>
    <w:p w14:paraId="174AF456" w14:textId="0DBBA456" w:rsidR="00A55D14" w:rsidRPr="00A55D14" w:rsidRDefault="00A55D14" w:rsidP="004A1922">
      <w:pPr>
        <w:rPr>
          <w:noProof/>
        </w:rPr>
      </w:pPr>
      <w:r w:rsidRPr="00B76B79">
        <w:rPr>
          <w:noProof/>
        </w:rPr>
        <w:t xml:space="preserve">Maintaining such consistency contributes to legal certainty and supports a rules-based international system. </w:t>
      </w:r>
    </w:p>
    <w:p w14:paraId="4E33D6E8" w14:textId="22BB396F" w:rsidR="008C7584" w:rsidRPr="001B23AE" w:rsidRDefault="008C7584" w:rsidP="00807C9E">
      <w:pPr>
        <w:pStyle w:val="Heading1"/>
        <w:rPr>
          <w:noProof/>
        </w:rPr>
      </w:pPr>
      <w:bookmarkStart w:id="53" w:name="_Ref227155692"/>
      <w:bookmarkStart w:id="54" w:name="_Toc234227857"/>
      <w:r>
        <w:rPr>
          <w:noProof/>
        </w:rPr>
        <w:t>FINDINGS</w:t>
      </w:r>
      <w:bookmarkEnd w:id="53"/>
      <w:bookmarkEnd w:id="54"/>
    </w:p>
    <w:p w14:paraId="42C54EB7" w14:textId="201E522F" w:rsidR="007B48BD" w:rsidRDefault="008C7584" w:rsidP="00807C9E">
      <w:pPr>
        <w:pStyle w:val="Heading2"/>
        <w:rPr>
          <w:noProof/>
        </w:rPr>
      </w:pPr>
      <w:bookmarkStart w:id="55" w:name="_Toc234227858"/>
      <w:r w:rsidRPr="00807C9E">
        <w:rPr>
          <w:noProof/>
        </w:rPr>
        <w:t>Status</w:t>
      </w:r>
      <w:r>
        <w:rPr>
          <w:noProof/>
        </w:rPr>
        <w:t xml:space="preserve"> of implementation</w:t>
      </w:r>
      <w:bookmarkEnd w:id="55"/>
      <w:r w:rsidR="008C739F">
        <w:rPr>
          <w:noProof/>
        </w:rPr>
        <w:t xml:space="preserve"> </w:t>
      </w:r>
    </w:p>
    <w:p w14:paraId="1D0F103F" w14:textId="47F6631E" w:rsidR="00D04C8F" w:rsidRPr="006041B3" w:rsidRDefault="00E2035C" w:rsidP="00D04C8F">
      <w:pPr>
        <w:rPr>
          <w:noProof/>
        </w:rPr>
      </w:pPr>
      <w:r>
        <w:rPr>
          <w:noProof/>
        </w:rPr>
        <w:t xml:space="preserve">The </w:t>
      </w:r>
      <w:r w:rsidR="00FC5B98">
        <w:rPr>
          <w:noProof/>
        </w:rPr>
        <w:t>FSIR</w:t>
      </w:r>
      <w:r>
        <w:rPr>
          <w:noProof/>
        </w:rPr>
        <w:t xml:space="preserve"> and notification forms</w:t>
      </w:r>
      <w:r w:rsidR="000569D4">
        <w:rPr>
          <w:noProof/>
        </w:rPr>
        <w:t xml:space="preserve"> for the two </w:t>
      </w:r>
      <w:r w:rsidR="000569D4" w:rsidRPr="006466EB">
        <w:rPr>
          <w:noProof/>
        </w:rPr>
        <w:t>ex</w:t>
      </w:r>
      <w:r w:rsidR="00065D3B" w:rsidRPr="006466EB">
        <w:rPr>
          <w:noProof/>
        </w:rPr>
        <w:t xml:space="preserve"> </w:t>
      </w:r>
      <w:r w:rsidR="000569D4" w:rsidRPr="006466EB">
        <w:rPr>
          <w:noProof/>
        </w:rPr>
        <w:t>ante</w:t>
      </w:r>
      <w:r w:rsidR="000569D4">
        <w:rPr>
          <w:noProof/>
        </w:rPr>
        <w:t xml:space="preserve"> </w:t>
      </w:r>
      <w:r w:rsidR="005F316A">
        <w:rPr>
          <w:noProof/>
        </w:rPr>
        <w:t>notification procedures</w:t>
      </w:r>
      <w:r w:rsidR="000569D4">
        <w:rPr>
          <w:noProof/>
        </w:rPr>
        <w:t xml:space="preserve"> of the FSR</w:t>
      </w:r>
      <w:r>
        <w:rPr>
          <w:noProof/>
        </w:rPr>
        <w:t xml:space="preserve"> were adopted</w:t>
      </w:r>
      <w:r w:rsidR="002E5E52">
        <w:rPr>
          <w:noProof/>
        </w:rPr>
        <w:t xml:space="preserve"> on </w:t>
      </w:r>
      <w:r w:rsidR="00DE3B6D">
        <w:rPr>
          <w:noProof/>
        </w:rPr>
        <w:t>10 </w:t>
      </w:r>
      <w:r w:rsidR="002E5E52">
        <w:rPr>
          <w:noProof/>
        </w:rPr>
        <w:t>July 2023,</w:t>
      </w:r>
      <w:r>
        <w:rPr>
          <w:noProof/>
        </w:rPr>
        <w:t xml:space="preserve"> within the timelines set out in</w:t>
      </w:r>
      <w:r w:rsidR="000569D4">
        <w:rPr>
          <w:noProof/>
        </w:rPr>
        <w:t xml:space="preserve"> </w:t>
      </w:r>
      <w:r w:rsidR="00DE3B6D">
        <w:rPr>
          <w:noProof/>
        </w:rPr>
        <w:t>Article </w:t>
      </w:r>
      <w:r w:rsidR="000569D4">
        <w:rPr>
          <w:noProof/>
        </w:rPr>
        <w:t>47(4) FSR</w:t>
      </w:r>
      <w:r w:rsidR="003E419B">
        <w:rPr>
          <w:noProof/>
        </w:rPr>
        <w:t>.</w:t>
      </w:r>
      <w:r>
        <w:rPr>
          <w:noProof/>
        </w:rPr>
        <w:t xml:space="preserve"> </w:t>
      </w:r>
      <w:r w:rsidR="003E419B">
        <w:rPr>
          <w:noProof/>
        </w:rPr>
        <w:t>That</w:t>
      </w:r>
      <w:r w:rsidR="000569D4">
        <w:rPr>
          <w:noProof/>
        </w:rPr>
        <w:t xml:space="preserve"> allowed</w:t>
      </w:r>
      <w:r>
        <w:rPr>
          <w:noProof/>
        </w:rPr>
        <w:t xml:space="preserve"> for the timely operationalisation of the notification-based enforcement </w:t>
      </w:r>
      <w:r w:rsidR="008A6947">
        <w:rPr>
          <w:noProof/>
        </w:rPr>
        <w:t>procedures</w:t>
      </w:r>
      <w:r>
        <w:rPr>
          <w:noProof/>
        </w:rPr>
        <w:t xml:space="preserve">. </w:t>
      </w:r>
      <w:r w:rsidR="00D04C8F">
        <w:rPr>
          <w:noProof/>
        </w:rPr>
        <w:t xml:space="preserve">The Commission has continuously requested Member States to report on their progress in implementing, in their respective jurisdictions, measures allowing them to assist the Commission in inspections in accordance with </w:t>
      </w:r>
      <w:r w:rsidR="00DE3B6D">
        <w:rPr>
          <w:noProof/>
        </w:rPr>
        <w:t>Article </w:t>
      </w:r>
      <w:r w:rsidR="00D04C8F">
        <w:rPr>
          <w:noProof/>
        </w:rPr>
        <w:t>14(5)</w:t>
      </w:r>
      <w:r w:rsidR="00DE3B6D">
        <w:rPr>
          <w:noProof/>
        </w:rPr>
        <w:t xml:space="preserve">, (6) and </w:t>
      </w:r>
      <w:r w:rsidR="00D04C8F">
        <w:rPr>
          <w:noProof/>
        </w:rPr>
        <w:t xml:space="preserve">(7) FSR, which </w:t>
      </w:r>
      <w:r w:rsidR="00D04C8F" w:rsidRPr="006041B3">
        <w:rPr>
          <w:noProof/>
        </w:rPr>
        <w:t>became applicable as from 12 January 2024.</w:t>
      </w:r>
    </w:p>
    <w:p w14:paraId="015A09E7" w14:textId="2282203A" w:rsidR="00534807" w:rsidRPr="006041B3" w:rsidRDefault="002125D3" w:rsidP="5849C651">
      <w:pPr>
        <w:rPr>
          <w:noProof/>
        </w:rPr>
      </w:pPr>
      <w:r w:rsidRPr="006041B3">
        <w:rPr>
          <w:b/>
          <w:bCs/>
          <w:noProof/>
        </w:rPr>
        <w:fldChar w:fldCharType="begin"/>
      </w:r>
      <w:r w:rsidRPr="006041B3">
        <w:rPr>
          <w:b/>
          <w:bCs/>
          <w:noProof/>
        </w:rPr>
        <w:instrText xml:space="preserve"> REF _Ref229995242 \h </w:instrText>
      </w:r>
      <w:r w:rsidR="006466EB" w:rsidRPr="006041B3">
        <w:rPr>
          <w:b/>
          <w:bCs/>
          <w:noProof/>
        </w:rPr>
        <w:instrText xml:space="preserve"> \* MERGEFORMAT </w:instrText>
      </w:r>
      <w:r w:rsidRPr="006041B3">
        <w:rPr>
          <w:b/>
          <w:bCs/>
          <w:noProof/>
        </w:rPr>
      </w:r>
      <w:r w:rsidRPr="006041B3">
        <w:rPr>
          <w:b/>
          <w:bCs/>
          <w:noProof/>
        </w:rPr>
        <w:fldChar w:fldCharType="separate"/>
      </w:r>
      <w:r w:rsidR="00227418" w:rsidRPr="00370F6C">
        <w:rPr>
          <w:b/>
          <w:bCs/>
          <w:noProof/>
        </w:rPr>
        <w:t>Figure 1</w:t>
      </w:r>
      <w:r w:rsidRPr="006041B3">
        <w:rPr>
          <w:b/>
          <w:bCs/>
          <w:noProof/>
        </w:rPr>
        <w:fldChar w:fldCharType="end"/>
      </w:r>
      <w:r w:rsidR="00D04C8F" w:rsidRPr="006041B3">
        <w:rPr>
          <w:noProof/>
        </w:rPr>
        <w:t xml:space="preserve"> provides an overview of the current state of play on the national implementation of provisions enabling Member States’ cooperation with the Commission in FSR inspections</w:t>
      </w:r>
      <w:r w:rsidR="00534807" w:rsidRPr="006041B3">
        <w:rPr>
          <w:noProof/>
        </w:rPr>
        <w:t xml:space="preserve">: </w:t>
      </w:r>
    </w:p>
    <w:p w14:paraId="625A4315" w14:textId="7B19E894" w:rsidR="00534807" w:rsidRPr="006041B3" w:rsidRDefault="00534807" w:rsidP="00534807">
      <w:pPr>
        <w:pStyle w:val="ListParagraph"/>
        <w:numPr>
          <w:ilvl w:val="0"/>
          <w:numId w:val="172"/>
        </w:numPr>
        <w:spacing w:after="160" w:line="278" w:lineRule="auto"/>
        <w:rPr>
          <w:noProof/>
          <w:lang w:val="en-US"/>
        </w:rPr>
      </w:pPr>
      <w:r w:rsidRPr="006041B3">
        <w:rPr>
          <w:noProof/>
          <w:lang w:val="en-US"/>
        </w:rPr>
        <w:t xml:space="preserve">Member States that have confirmed the adoption of implementing provisions include Bulgaria, Czechia, Finland, France, Hungary, Ireland, Latvia, Lithuania, Luxembourg, Netherlands, Poland, Romania, Slovakia, Slovenia and Spain. </w:t>
      </w:r>
    </w:p>
    <w:p w14:paraId="3BCC6920" w14:textId="5A7AD6C3" w:rsidR="00534807" w:rsidRPr="006041B3" w:rsidRDefault="00534807" w:rsidP="00534807">
      <w:pPr>
        <w:pStyle w:val="ListParagraph"/>
        <w:numPr>
          <w:ilvl w:val="0"/>
          <w:numId w:val="172"/>
        </w:numPr>
        <w:spacing w:after="160" w:line="278" w:lineRule="auto"/>
        <w:rPr>
          <w:noProof/>
          <w:lang w:val="en-US"/>
        </w:rPr>
      </w:pPr>
      <w:r w:rsidRPr="006041B3">
        <w:rPr>
          <w:noProof/>
          <w:lang w:val="en-US"/>
        </w:rPr>
        <w:t xml:space="preserve">Member States that have introduced legislative proposals which are pending adoption include Austria, Belgium, Cyprus, Denmark, Estonia and Germany. </w:t>
      </w:r>
    </w:p>
    <w:p w14:paraId="2BE9CB11" w14:textId="5C563B99" w:rsidR="00534807" w:rsidRPr="006041B3" w:rsidRDefault="00534807" w:rsidP="00534807">
      <w:pPr>
        <w:pStyle w:val="ListParagraph"/>
        <w:numPr>
          <w:ilvl w:val="0"/>
          <w:numId w:val="172"/>
        </w:numPr>
        <w:spacing w:after="160" w:line="278" w:lineRule="auto"/>
        <w:rPr>
          <w:noProof/>
          <w:lang w:val="en-US"/>
        </w:rPr>
      </w:pPr>
      <w:r w:rsidRPr="006041B3">
        <w:rPr>
          <w:noProof/>
          <w:lang w:val="en-US"/>
        </w:rPr>
        <w:t xml:space="preserve">Member States that have not confirmed yet their legislative proposals include Croatia, Greece, Italy, Malta, Portugal and Sweden. </w:t>
      </w:r>
    </w:p>
    <w:p w14:paraId="7335DA75" w14:textId="34FF1E6F" w:rsidR="00744A07" w:rsidRDefault="00744A07" w:rsidP="00744A07">
      <w:pPr>
        <w:pStyle w:val="Caption"/>
        <w:rPr>
          <w:noProof/>
        </w:rPr>
      </w:pPr>
      <w:bookmarkStart w:id="56" w:name="_Ref229995242"/>
      <w:r w:rsidRPr="006041B3">
        <w:rPr>
          <w:noProof/>
        </w:rPr>
        <w:t xml:space="preserve">Figure </w:t>
      </w:r>
      <w:r w:rsidRPr="006041B3">
        <w:rPr>
          <w:noProof/>
        </w:rPr>
        <w:fldChar w:fldCharType="begin"/>
      </w:r>
      <w:r w:rsidRPr="006041B3">
        <w:rPr>
          <w:noProof/>
        </w:rPr>
        <w:instrText xml:space="preserve"> SEQ Figure \* ARABIC </w:instrText>
      </w:r>
      <w:r w:rsidRPr="006041B3">
        <w:rPr>
          <w:noProof/>
        </w:rPr>
        <w:fldChar w:fldCharType="separate"/>
      </w:r>
      <w:r w:rsidR="00227418">
        <w:rPr>
          <w:noProof/>
        </w:rPr>
        <w:t>1</w:t>
      </w:r>
      <w:r w:rsidRPr="006041B3">
        <w:rPr>
          <w:noProof/>
        </w:rPr>
        <w:fldChar w:fldCharType="end"/>
      </w:r>
      <w:bookmarkEnd w:id="56"/>
      <w:r w:rsidRPr="006041B3">
        <w:rPr>
          <w:noProof/>
        </w:rPr>
        <w:t xml:space="preserve"> </w:t>
      </w:r>
      <w:r w:rsidRPr="006041B3">
        <w:rPr>
          <w:b w:val="0"/>
          <w:noProof/>
        </w:rPr>
        <w:t>–</w:t>
      </w:r>
      <w:r w:rsidRPr="006041B3">
        <w:rPr>
          <w:noProof/>
        </w:rPr>
        <w:t xml:space="preserve"> Implementation</w:t>
      </w:r>
      <w:r>
        <w:rPr>
          <w:noProof/>
        </w:rPr>
        <w:t xml:space="preserve"> of domestic legislation for cooperation under the FSR</w:t>
      </w:r>
    </w:p>
    <w:p w14:paraId="372DBA74" w14:textId="450B7175" w:rsidR="00280D85" w:rsidRDefault="00847A61" w:rsidP="00D04C8F">
      <w:pPr>
        <w:rPr>
          <w:noProof/>
          <w:sz w:val="20"/>
          <w:lang w:val="en-IE"/>
        </w:rPr>
      </w:pPr>
      <w:r w:rsidRPr="00847A61">
        <w:rPr>
          <w:noProof/>
        </w:rPr>
        <w:t xml:space="preserve"> </w:t>
      </w:r>
      <w:r>
        <w:rPr>
          <w:noProof/>
          <w:lang w:eastAsia="en-GB"/>
        </w:rPr>
        <w:drawing>
          <wp:inline distT="0" distB="0" distL="0" distR="0" wp14:anchorId="3B05F75E" wp14:editId="58E20A97">
            <wp:extent cx="4747260" cy="2807970"/>
            <wp:effectExtent l="0" t="0" r="0" b="0"/>
            <wp:docPr id="1129303329" name="Chart 1">
              <a:extLst xmlns:a="http://schemas.openxmlformats.org/drawingml/2006/main">
                <a:ext uri="{FF2B5EF4-FFF2-40B4-BE49-F238E27FC236}">
                  <a16:creationId xmlns:a16="http://schemas.microsoft.com/office/drawing/2014/main" id="{DD10F475-AC35-459B-431C-26BD47E44C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2B7BDDC" w14:textId="6CC5187B" w:rsidR="00D04C8F" w:rsidRPr="00A47B29" w:rsidRDefault="00D04C8F" w:rsidP="005A5C27">
      <w:pPr>
        <w:pStyle w:val="Source"/>
        <w:rPr>
          <w:noProof/>
          <w:lang w:val="en-IE"/>
        </w:rPr>
      </w:pPr>
      <w:r w:rsidRPr="00265C06">
        <w:rPr>
          <w:noProof/>
          <w:lang w:val="en-IE"/>
        </w:rPr>
        <w:t>Source: Information provided by Member States</w:t>
      </w:r>
      <w:r w:rsidR="00DE3B6D">
        <w:rPr>
          <w:noProof/>
          <w:lang w:val="en-IE"/>
        </w:rPr>
        <w:t>.</w:t>
      </w:r>
    </w:p>
    <w:p w14:paraId="3485323F" w14:textId="2FB28C5E" w:rsidR="00991A10" w:rsidRPr="00435134" w:rsidRDefault="00E2035C" w:rsidP="00940DF0">
      <w:pPr>
        <w:rPr>
          <w:noProof/>
        </w:rPr>
      </w:pPr>
      <w:r>
        <w:rPr>
          <w:noProof/>
        </w:rPr>
        <w:t xml:space="preserve">In addition, the adoption of supplementary guidance, </w:t>
      </w:r>
      <w:r w:rsidR="00C104C1">
        <w:rPr>
          <w:noProof/>
        </w:rPr>
        <w:t>discussed</w:t>
      </w:r>
      <w:r w:rsidR="00766BE7">
        <w:rPr>
          <w:noProof/>
        </w:rPr>
        <w:t xml:space="preserve"> in Section </w:t>
      </w:r>
      <w:r w:rsidR="00B76B79">
        <w:rPr>
          <w:noProof/>
        </w:rPr>
        <w:fldChar w:fldCharType="begin"/>
      </w:r>
      <w:r w:rsidR="00B76B79">
        <w:rPr>
          <w:noProof/>
        </w:rPr>
        <w:instrText xml:space="preserve"> REF _Ref227150596 \r \h </w:instrText>
      </w:r>
      <w:r w:rsidR="00807C9E">
        <w:rPr>
          <w:noProof/>
        </w:rPr>
        <w:instrText xml:space="preserve"> \* MERGEFORMAT </w:instrText>
      </w:r>
      <w:r w:rsidR="00B76B79">
        <w:rPr>
          <w:noProof/>
        </w:rPr>
      </w:r>
      <w:r w:rsidR="00B76B79">
        <w:rPr>
          <w:noProof/>
        </w:rPr>
        <w:fldChar w:fldCharType="separate"/>
      </w:r>
      <w:r w:rsidR="00227418">
        <w:rPr>
          <w:noProof/>
        </w:rPr>
        <w:t>4.3.1</w:t>
      </w:r>
      <w:r w:rsidR="00B76B79">
        <w:rPr>
          <w:noProof/>
        </w:rPr>
        <w:fldChar w:fldCharType="end"/>
      </w:r>
      <w:r w:rsidR="00B76B79">
        <w:rPr>
          <w:noProof/>
        </w:rPr>
        <w:t xml:space="preserve"> </w:t>
      </w:r>
      <w:r w:rsidR="00766BE7">
        <w:rPr>
          <w:noProof/>
        </w:rPr>
        <w:t>above,</w:t>
      </w:r>
      <w:r>
        <w:rPr>
          <w:noProof/>
        </w:rPr>
        <w:t xml:space="preserve"> contributed to a more consistent understanding of the Commission’s approach to the application of key substantive notions under the FSR, particularly during the initial phase of enforcement.</w:t>
      </w:r>
    </w:p>
    <w:p w14:paraId="389629E2" w14:textId="38CA2257" w:rsidR="007C343C" w:rsidRDefault="008C7584" w:rsidP="00807C9E">
      <w:pPr>
        <w:pStyle w:val="Heading2"/>
        <w:rPr>
          <w:noProof/>
        </w:rPr>
      </w:pPr>
      <w:bookmarkStart w:id="57" w:name="_Toc234227859"/>
      <w:r>
        <w:rPr>
          <w:noProof/>
        </w:rPr>
        <w:t xml:space="preserve">Status of </w:t>
      </w:r>
      <w:r w:rsidRPr="00807C9E">
        <w:rPr>
          <w:noProof/>
        </w:rPr>
        <w:t>enforcement</w:t>
      </w:r>
      <w:bookmarkEnd w:id="57"/>
      <w:r w:rsidR="008C739F">
        <w:rPr>
          <w:noProof/>
        </w:rPr>
        <w:t xml:space="preserve"> </w:t>
      </w:r>
    </w:p>
    <w:p w14:paraId="6FE8BC64" w14:textId="284FC522" w:rsidR="007C343C" w:rsidRPr="007C343C" w:rsidRDefault="007C343C" w:rsidP="004A1922">
      <w:pPr>
        <w:rPr>
          <w:noProof/>
        </w:rPr>
      </w:pPr>
      <w:r w:rsidRPr="007C343C">
        <w:rPr>
          <w:noProof/>
        </w:rPr>
        <w:t xml:space="preserve">This section presents an overview of the enforcement of the FSR to date. It first examines whether the substantive provisions of the Regulation are understood and considered appropriate in light of </w:t>
      </w:r>
      <w:r w:rsidR="00693E09">
        <w:rPr>
          <w:noProof/>
        </w:rPr>
        <w:t xml:space="preserve">the </w:t>
      </w:r>
      <w:r w:rsidRPr="007C343C">
        <w:rPr>
          <w:noProof/>
        </w:rPr>
        <w:t>early enforcement experience. It then turns to the application of the FSR through its main enforcement tools, namely ex officio investigations and notification-based review of concentrations</w:t>
      </w:r>
      <w:r w:rsidR="0010710F">
        <w:rPr>
          <w:noProof/>
        </w:rPr>
        <w:t xml:space="preserve"> and public procurement procedures</w:t>
      </w:r>
      <w:r w:rsidRPr="007C343C">
        <w:rPr>
          <w:noProof/>
        </w:rPr>
        <w:t>. The analysis distinguishes between feedback received from stakeholders and the Commission</w:t>
      </w:r>
      <w:r w:rsidR="00DD5653">
        <w:rPr>
          <w:noProof/>
        </w:rPr>
        <w:t xml:space="preserve"> services</w:t>
      </w:r>
      <w:r w:rsidRPr="007C343C">
        <w:rPr>
          <w:noProof/>
        </w:rPr>
        <w:t>’ assessment</w:t>
      </w:r>
      <w:r w:rsidR="00594500">
        <w:rPr>
          <w:noProof/>
        </w:rPr>
        <w:t xml:space="preserve"> in line with the sources of information identified in </w:t>
      </w:r>
      <w:r w:rsidR="00594500" w:rsidRPr="00750DE1">
        <w:rPr>
          <w:noProof/>
        </w:rPr>
        <w:t xml:space="preserve">Section </w:t>
      </w:r>
      <w:r w:rsidR="00B76B79" w:rsidRPr="00750DE1">
        <w:rPr>
          <w:noProof/>
        </w:rPr>
        <w:fldChar w:fldCharType="begin"/>
      </w:r>
      <w:r w:rsidR="00B76B79" w:rsidRPr="00750DE1">
        <w:rPr>
          <w:noProof/>
        </w:rPr>
        <w:instrText xml:space="preserve"> REF _Ref227150705 \r \h </w:instrText>
      </w:r>
      <w:r w:rsidR="00E52037">
        <w:rPr>
          <w:noProof/>
        </w:rPr>
        <w:instrText xml:space="preserve"> \* MERGEFORMAT </w:instrText>
      </w:r>
      <w:r w:rsidR="00B76B79" w:rsidRPr="00750DE1">
        <w:rPr>
          <w:noProof/>
        </w:rPr>
      </w:r>
      <w:r w:rsidR="00B76B79" w:rsidRPr="00750DE1">
        <w:rPr>
          <w:noProof/>
        </w:rPr>
        <w:fldChar w:fldCharType="separate"/>
      </w:r>
      <w:r w:rsidR="00227418">
        <w:rPr>
          <w:noProof/>
        </w:rPr>
        <w:t>4</w:t>
      </w:r>
      <w:r w:rsidR="00B76B79" w:rsidRPr="00750DE1">
        <w:rPr>
          <w:noProof/>
        </w:rPr>
        <w:fldChar w:fldCharType="end"/>
      </w:r>
      <w:r w:rsidRPr="00750DE1">
        <w:rPr>
          <w:noProof/>
        </w:rPr>
        <w:t>.</w:t>
      </w:r>
    </w:p>
    <w:p w14:paraId="6A393B86" w14:textId="6AB527E5" w:rsidR="000268D5" w:rsidRDefault="000268D5" w:rsidP="000268D5">
      <w:pPr>
        <w:rPr>
          <w:noProof/>
        </w:rPr>
      </w:pPr>
      <w:r>
        <w:rPr>
          <w:noProof/>
        </w:rPr>
        <w:t xml:space="preserve">Before </w:t>
      </w:r>
      <w:r w:rsidR="006356E0">
        <w:rPr>
          <w:noProof/>
        </w:rPr>
        <w:t>addressing</w:t>
      </w:r>
      <w:r>
        <w:rPr>
          <w:noProof/>
        </w:rPr>
        <w:t xml:space="preserve"> each subsection, the following considerations should be mad</w:t>
      </w:r>
      <w:r w:rsidR="00B46EA7">
        <w:rPr>
          <w:noProof/>
        </w:rPr>
        <w:t>e</w:t>
      </w:r>
      <w:r w:rsidR="00E10800">
        <w:rPr>
          <w:noProof/>
        </w:rPr>
        <w:t>:</w:t>
      </w:r>
      <w:r>
        <w:rPr>
          <w:noProof/>
        </w:rPr>
        <w:t xml:space="preserve"> </w:t>
      </w:r>
    </w:p>
    <w:p w14:paraId="30AD7C64" w14:textId="5C833D2C" w:rsidR="000268D5" w:rsidRDefault="000268D5" w:rsidP="000268D5">
      <w:pPr>
        <w:rPr>
          <w:noProof/>
        </w:rPr>
      </w:pPr>
      <w:r>
        <w:rPr>
          <w:noProof/>
        </w:rPr>
        <w:t xml:space="preserve">First, the FSR </w:t>
      </w:r>
      <w:r w:rsidR="00B46EA7">
        <w:rPr>
          <w:noProof/>
        </w:rPr>
        <w:t>is still in the very early stages of its enforcement</w:t>
      </w:r>
      <w:r w:rsidR="006E45C8">
        <w:rPr>
          <w:noProof/>
        </w:rPr>
        <w:t>.</w:t>
      </w:r>
      <w:r>
        <w:rPr>
          <w:noProof/>
        </w:rPr>
        <w:t xml:space="preserve"> </w:t>
      </w:r>
      <w:r w:rsidR="00B46EA7">
        <w:rPr>
          <w:noProof/>
        </w:rPr>
        <w:t xml:space="preserve">This has resulted in a necessary learning period for both the Commission and the undertakings involved in procedures under the FSR, </w:t>
      </w:r>
      <w:r w:rsidR="004F3E12">
        <w:rPr>
          <w:noProof/>
        </w:rPr>
        <w:t xml:space="preserve">as well as the contracting authorities, </w:t>
      </w:r>
      <w:r>
        <w:rPr>
          <w:noProof/>
        </w:rPr>
        <w:t xml:space="preserve">with </w:t>
      </w:r>
      <w:r w:rsidR="00731A2E">
        <w:rPr>
          <w:noProof/>
        </w:rPr>
        <w:t>notable</w:t>
      </w:r>
      <w:r>
        <w:rPr>
          <w:noProof/>
        </w:rPr>
        <w:t xml:space="preserve"> differences between early cases and more recent ones</w:t>
      </w:r>
      <w:r w:rsidR="00B46EA7">
        <w:rPr>
          <w:noProof/>
        </w:rPr>
        <w:t>,</w:t>
      </w:r>
      <w:r w:rsidR="00731A2E">
        <w:rPr>
          <w:noProof/>
        </w:rPr>
        <w:t xml:space="preserve"> and with </w:t>
      </w:r>
      <w:r w:rsidR="000315F4">
        <w:rPr>
          <w:noProof/>
        </w:rPr>
        <w:t xml:space="preserve">a </w:t>
      </w:r>
      <w:r w:rsidR="00731A2E">
        <w:rPr>
          <w:noProof/>
        </w:rPr>
        <w:t xml:space="preserve">clear tendency towards </w:t>
      </w:r>
      <w:r w:rsidR="00E5708C">
        <w:rPr>
          <w:noProof/>
        </w:rPr>
        <w:t xml:space="preserve">quicker and </w:t>
      </w:r>
      <w:r w:rsidR="00731A2E">
        <w:rPr>
          <w:noProof/>
        </w:rPr>
        <w:t>more efficient proce</w:t>
      </w:r>
      <w:r w:rsidR="00D04C8F">
        <w:rPr>
          <w:noProof/>
        </w:rPr>
        <w:t>sses</w:t>
      </w:r>
      <w:r w:rsidR="00731A2E">
        <w:rPr>
          <w:noProof/>
        </w:rPr>
        <w:t xml:space="preserve"> in most recent cases.</w:t>
      </w:r>
    </w:p>
    <w:p w14:paraId="0A89D3B6" w14:textId="297886AA" w:rsidR="000268D5" w:rsidRDefault="00B46EA7" w:rsidP="000268D5">
      <w:pPr>
        <w:rPr>
          <w:noProof/>
        </w:rPr>
      </w:pPr>
      <w:r>
        <w:rPr>
          <w:noProof/>
        </w:rPr>
        <w:t xml:space="preserve">Second, it is important to highlight that </w:t>
      </w:r>
      <w:r w:rsidR="000268D5">
        <w:rPr>
          <w:noProof/>
        </w:rPr>
        <w:t xml:space="preserve">the Stakeholders’ Consultations </w:t>
      </w:r>
      <w:r>
        <w:rPr>
          <w:noProof/>
        </w:rPr>
        <w:t xml:space="preserve">and the conclusions that can be drawn from them </w:t>
      </w:r>
      <w:r w:rsidR="000268D5">
        <w:rPr>
          <w:noProof/>
        </w:rPr>
        <w:t xml:space="preserve">predate several significant developments in the enforcement of the FSR, namely the </w:t>
      </w:r>
      <w:r w:rsidR="00940515">
        <w:rPr>
          <w:noProof/>
        </w:rPr>
        <w:t>adoption</w:t>
      </w:r>
      <w:r>
        <w:rPr>
          <w:noProof/>
        </w:rPr>
        <w:t xml:space="preserve"> of the final decision</w:t>
      </w:r>
      <w:r w:rsidR="00931BBE">
        <w:rPr>
          <w:noProof/>
        </w:rPr>
        <w:t>s</w:t>
      </w:r>
      <w:r>
        <w:rPr>
          <w:noProof/>
        </w:rPr>
        <w:t xml:space="preserve"> in </w:t>
      </w:r>
      <w:r w:rsidR="00AB3599">
        <w:rPr>
          <w:noProof/>
        </w:rPr>
        <w:t>concentration</w:t>
      </w:r>
      <w:r>
        <w:rPr>
          <w:noProof/>
        </w:rPr>
        <w:t xml:space="preserve"> case</w:t>
      </w:r>
      <w:r w:rsidR="007B68A2">
        <w:rPr>
          <w:noProof/>
        </w:rPr>
        <w:t xml:space="preserve"> </w:t>
      </w:r>
      <w:r w:rsidR="000268D5">
        <w:rPr>
          <w:noProof/>
        </w:rPr>
        <w:t>FS.100156 ADNOC/Covestro</w:t>
      </w:r>
      <w:r w:rsidR="00E80A2F">
        <w:rPr>
          <w:noProof/>
        </w:rPr>
        <w:t xml:space="preserve"> and </w:t>
      </w:r>
      <w:r w:rsidR="00AB3599">
        <w:rPr>
          <w:noProof/>
        </w:rPr>
        <w:t xml:space="preserve">in public procurement case </w:t>
      </w:r>
      <w:r w:rsidR="00E80A2F" w:rsidRPr="00E80A2F">
        <w:rPr>
          <w:noProof/>
        </w:rPr>
        <w:t>FSP.103117 – Design and construction, acquisition of vehicles and maintenance services of the Violet Line of the Lisbon Metro in Portugal</w:t>
      </w:r>
      <w:r w:rsidR="000268D5">
        <w:rPr>
          <w:noProof/>
        </w:rPr>
        <w:t xml:space="preserve">, the </w:t>
      </w:r>
      <w:r>
        <w:rPr>
          <w:noProof/>
        </w:rPr>
        <w:t xml:space="preserve">adoption of </w:t>
      </w:r>
      <w:r w:rsidR="00940515">
        <w:rPr>
          <w:noProof/>
        </w:rPr>
        <w:t xml:space="preserve">the </w:t>
      </w:r>
      <w:r>
        <w:rPr>
          <w:noProof/>
        </w:rPr>
        <w:t>decision</w:t>
      </w:r>
      <w:r w:rsidR="00940515">
        <w:rPr>
          <w:noProof/>
        </w:rPr>
        <w:t>s</w:t>
      </w:r>
      <w:r>
        <w:rPr>
          <w:noProof/>
        </w:rPr>
        <w:t xml:space="preserve"> to </w:t>
      </w:r>
      <w:r w:rsidR="000268D5">
        <w:rPr>
          <w:noProof/>
        </w:rPr>
        <w:t>open</w:t>
      </w:r>
      <w:r>
        <w:rPr>
          <w:noProof/>
        </w:rPr>
        <w:t xml:space="preserve"> </w:t>
      </w:r>
      <w:r w:rsidR="00940515">
        <w:rPr>
          <w:noProof/>
        </w:rPr>
        <w:t xml:space="preserve">ex officio </w:t>
      </w:r>
      <w:r>
        <w:rPr>
          <w:noProof/>
        </w:rPr>
        <w:t xml:space="preserve">in-depth investigation </w:t>
      </w:r>
      <w:r w:rsidR="000268D5">
        <w:rPr>
          <w:noProof/>
        </w:rPr>
        <w:t xml:space="preserve">in </w:t>
      </w:r>
      <w:r w:rsidR="00D04C8F">
        <w:rPr>
          <w:noProof/>
        </w:rPr>
        <w:t>case</w:t>
      </w:r>
      <w:r w:rsidR="00E5708C">
        <w:rPr>
          <w:noProof/>
        </w:rPr>
        <w:t>s</w:t>
      </w:r>
      <w:r w:rsidR="00D04C8F">
        <w:rPr>
          <w:noProof/>
        </w:rPr>
        <w:t xml:space="preserve"> </w:t>
      </w:r>
      <w:r w:rsidR="009D603E">
        <w:rPr>
          <w:noProof/>
        </w:rPr>
        <w:t xml:space="preserve">FS.100068 Nuctech </w:t>
      </w:r>
      <w:r w:rsidR="000268D5">
        <w:rPr>
          <w:noProof/>
        </w:rPr>
        <w:t xml:space="preserve">and </w:t>
      </w:r>
      <w:r w:rsidR="00D04C8F">
        <w:rPr>
          <w:noProof/>
        </w:rPr>
        <w:t xml:space="preserve">FS.100143 </w:t>
      </w:r>
      <w:r w:rsidR="000268D5">
        <w:rPr>
          <w:noProof/>
        </w:rPr>
        <w:t>Goldwind</w:t>
      </w:r>
      <w:r w:rsidR="00151547">
        <w:rPr>
          <w:noProof/>
        </w:rPr>
        <w:t xml:space="preserve">, the adoption of the decision to open </w:t>
      </w:r>
      <w:r w:rsidR="00021684">
        <w:rPr>
          <w:noProof/>
        </w:rPr>
        <w:t xml:space="preserve">an </w:t>
      </w:r>
      <w:r w:rsidR="00151547">
        <w:rPr>
          <w:noProof/>
        </w:rPr>
        <w:t>in-depth investigation in concentration case FS.100253 JD.COM/CECONOMY</w:t>
      </w:r>
      <w:r w:rsidR="000268D5">
        <w:rPr>
          <w:noProof/>
        </w:rPr>
        <w:t xml:space="preserve"> </w:t>
      </w:r>
      <w:r w:rsidR="00151547">
        <w:rPr>
          <w:noProof/>
        </w:rPr>
        <w:t>as well as</w:t>
      </w:r>
      <w:r w:rsidR="000268D5">
        <w:rPr>
          <w:noProof/>
        </w:rPr>
        <w:t xml:space="preserve"> the adoption of the FSR Guidelines on 9 January 2026. The findings from the </w:t>
      </w:r>
      <w:r w:rsidR="00692F7C">
        <w:rPr>
          <w:noProof/>
        </w:rPr>
        <w:t>s</w:t>
      </w:r>
      <w:r w:rsidR="007D30DF">
        <w:rPr>
          <w:noProof/>
        </w:rPr>
        <w:t xml:space="preserve">takeholder </w:t>
      </w:r>
      <w:r w:rsidR="00692F7C">
        <w:rPr>
          <w:noProof/>
        </w:rPr>
        <w:t>c</w:t>
      </w:r>
      <w:r w:rsidR="007D30DF">
        <w:rPr>
          <w:noProof/>
        </w:rPr>
        <w:t xml:space="preserve">onsultations </w:t>
      </w:r>
      <w:r w:rsidR="000268D5">
        <w:rPr>
          <w:noProof/>
        </w:rPr>
        <w:t xml:space="preserve">therefore do not take into account the </w:t>
      </w:r>
      <w:r w:rsidR="00940515">
        <w:rPr>
          <w:noProof/>
        </w:rPr>
        <w:t xml:space="preserve">additional </w:t>
      </w:r>
      <w:r w:rsidR="000268D5">
        <w:rPr>
          <w:noProof/>
        </w:rPr>
        <w:t xml:space="preserve">clarifications </w:t>
      </w:r>
      <w:r w:rsidR="00940515">
        <w:rPr>
          <w:noProof/>
        </w:rPr>
        <w:t xml:space="preserve">and insights into the FSR enforcement brought </w:t>
      </w:r>
      <w:r w:rsidR="000268D5">
        <w:rPr>
          <w:noProof/>
        </w:rPr>
        <w:t>by those developments</w:t>
      </w:r>
      <w:r w:rsidR="00940515">
        <w:rPr>
          <w:noProof/>
        </w:rPr>
        <w:t>. This is the case</w:t>
      </w:r>
      <w:r w:rsidR="000268D5">
        <w:rPr>
          <w:noProof/>
        </w:rPr>
        <w:t xml:space="preserve"> in particular</w:t>
      </w:r>
      <w:r w:rsidR="00940515">
        <w:rPr>
          <w:noProof/>
        </w:rPr>
        <w:t xml:space="preserve"> with respect to</w:t>
      </w:r>
      <w:r w:rsidR="000268D5">
        <w:rPr>
          <w:noProof/>
        </w:rPr>
        <w:t xml:space="preserve"> the FSR Guidelines, which provide additional clarity and transparency into the approach taken by the Commission in its assessment under the FSR</w:t>
      </w:r>
      <w:r w:rsidR="00E5708C">
        <w:rPr>
          <w:noProof/>
        </w:rPr>
        <w:t>.</w:t>
      </w:r>
    </w:p>
    <w:p w14:paraId="00FCDB6D" w14:textId="0FD2E906" w:rsidR="000268D5" w:rsidRPr="007C343C" w:rsidRDefault="00940515" w:rsidP="004A1922">
      <w:pPr>
        <w:rPr>
          <w:noProof/>
        </w:rPr>
      </w:pPr>
      <w:r>
        <w:rPr>
          <w:noProof/>
        </w:rPr>
        <w:t>Third</w:t>
      </w:r>
      <w:r w:rsidR="000268D5">
        <w:rPr>
          <w:noProof/>
        </w:rPr>
        <w:t xml:space="preserve">, </w:t>
      </w:r>
      <w:r w:rsidR="0044021D">
        <w:rPr>
          <w:noProof/>
        </w:rPr>
        <w:t>case practice has varied significantly</w:t>
      </w:r>
      <w:r w:rsidR="00177DFD">
        <w:rPr>
          <w:noProof/>
        </w:rPr>
        <w:t xml:space="preserve"> depending on the enforcement procedure</w:t>
      </w:r>
      <w:r w:rsidR="0044021D">
        <w:rPr>
          <w:noProof/>
        </w:rPr>
        <w:t xml:space="preserve">, with a smaller number of cases reviewed under the ex officio procedure, followed by a moderate number of cases reviewed under the notification procedure for concentrations, </w:t>
      </w:r>
      <w:r w:rsidR="00731A2E">
        <w:rPr>
          <w:noProof/>
        </w:rPr>
        <w:t>and a</w:t>
      </w:r>
      <w:r w:rsidR="0044021D">
        <w:rPr>
          <w:noProof/>
        </w:rPr>
        <w:t xml:space="preserve"> highe</w:t>
      </w:r>
      <w:r w:rsidR="00731A2E">
        <w:rPr>
          <w:noProof/>
        </w:rPr>
        <w:t>r</w:t>
      </w:r>
      <w:r w:rsidR="0044021D">
        <w:rPr>
          <w:noProof/>
        </w:rPr>
        <w:t xml:space="preserve"> number of submissions under the notification procedure for public procurement</w:t>
      </w:r>
      <w:r>
        <w:rPr>
          <w:noProof/>
        </w:rPr>
        <w:t>.</w:t>
      </w:r>
      <w:r w:rsidR="0044021D">
        <w:rPr>
          <w:noProof/>
        </w:rPr>
        <w:t xml:space="preserve"> Yet, in many instances, the feedback received does not clearly distinguish between procedures</w:t>
      </w:r>
      <w:r w:rsidR="00731A2E">
        <w:rPr>
          <w:noProof/>
        </w:rPr>
        <w:t>, which makes</w:t>
      </w:r>
      <w:r w:rsidR="00500B93">
        <w:rPr>
          <w:noProof/>
        </w:rPr>
        <w:t xml:space="preserve"> it</w:t>
      </w:r>
      <w:r w:rsidR="00731A2E">
        <w:rPr>
          <w:noProof/>
        </w:rPr>
        <w:t xml:space="preserve"> </w:t>
      </w:r>
      <w:r w:rsidR="00931BBE">
        <w:rPr>
          <w:noProof/>
        </w:rPr>
        <w:t xml:space="preserve">more </w:t>
      </w:r>
      <w:r w:rsidR="00731A2E">
        <w:rPr>
          <w:noProof/>
        </w:rPr>
        <w:t>difficult to draw self-standing conclusions for each procedure</w:t>
      </w:r>
      <w:r w:rsidR="00731A2E" w:rsidRPr="00731A2E">
        <w:rPr>
          <w:noProof/>
        </w:rPr>
        <w:t> (</w:t>
      </w:r>
      <w:r w:rsidR="00731A2E">
        <w:rPr>
          <w:rStyle w:val="FootnoteReference"/>
          <w:noProof/>
        </w:rPr>
        <w:footnoteReference w:id="38"/>
      </w:r>
      <w:r w:rsidR="00731A2E">
        <w:rPr>
          <w:noProof/>
        </w:rPr>
        <w:t>)</w:t>
      </w:r>
      <w:r w:rsidR="00D30EF0">
        <w:rPr>
          <w:noProof/>
        </w:rPr>
        <w:t>.</w:t>
      </w:r>
      <w:r w:rsidR="00731A2E">
        <w:rPr>
          <w:noProof/>
        </w:rPr>
        <w:t xml:space="preserve"> </w:t>
      </w:r>
    </w:p>
    <w:p w14:paraId="758D0E2A" w14:textId="1E866F1C" w:rsidR="004B4170" w:rsidRPr="00A47B29" w:rsidRDefault="004B4170" w:rsidP="005A5C27">
      <w:pPr>
        <w:pStyle w:val="Heading3"/>
        <w:ind w:left="851" w:hanging="851"/>
        <w:rPr>
          <w:rStyle w:val="Heading3Char"/>
          <w:i/>
          <w:noProof/>
        </w:rPr>
      </w:pPr>
      <w:bookmarkStart w:id="58" w:name="_Toc234227860"/>
      <w:r>
        <w:rPr>
          <w:noProof/>
        </w:rPr>
        <w:t>Relevance, clari</w:t>
      </w:r>
      <w:r w:rsidR="00545F83">
        <w:rPr>
          <w:noProof/>
        </w:rPr>
        <w:t>ty</w:t>
      </w:r>
      <w:r>
        <w:rPr>
          <w:noProof/>
        </w:rPr>
        <w:t xml:space="preserve"> and appropriateness of substantive provisions</w:t>
      </w:r>
      <w:bookmarkEnd w:id="58"/>
      <w:r>
        <w:rPr>
          <w:noProof/>
        </w:rPr>
        <w:t xml:space="preserve"> </w:t>
      </w:r>
    </w:p>
    <w:p w14:paraId="7CF7F749" w14:textId="4FC8D2C7" w:rsidR="004B4170" w:rsidRDefault="004B4170" w:rsidP="00807C9E">
      <w:pPr>
        <w:pStyle w:val="Heading4"/>
        <w:rPr>
          <w:noProof/>
        </w:rPr>
      </w:pPr>
      <w:bookmarkStart w:id="59" w:name="_Toc234227861"/>
      <w:r>
        <w:rPr>
          <w:noProof/>
        </w:rPr>
        <w:t>Feedback from stakeholders</w:t>
      </w:r>
      <w:bookmarkEnd w:id="59"/>
      <w:r w:rsidR="00A16B12">
        <w:rPr>
          <w:noProof/>
        </w:rPr>
        <w:t xml:space="preserve"> </w:t>
      </w:r>
    </w:p>
    <w:p w14:paraId="449E2861" w14:textId="587EA966" w:rsidR="009D6C1B" w:rsidRPr="00D73DBB" w:rsidRDefault="000A2C14" w:rsidP="004A1922">
      <w:pPr>
        <w:rPr>
          <w:noProof/>
        </w:rPr>
      </w:pPr>
      <w:r w:rsidRPr="00750DE1">
        <w:rPr>
          <w:noProof/>
        </w:rPr>
        <w:t xml:space="preserve">The stakeholder feedback presented in this </w:t>
      </w:r>
      <w:r w:rsidR="0009027D">
        <w:rPr>
          <w:noProof/>
        </w:rPr>
        <w:t>S</w:t>
      </w:r>
      <w:r w:rsidRPr="00750DE1">
        <w:rPr>
          <w:noProof/>
        </w:rPr>
        <w:t xml:space="preserve">ection is based on the results of the </w:t>
      </w:r>
      <w:r w:rsidR="00931BBE">
        <w:rPr>
          <w:noProof/>
        </w:rPr>
        <w:t>p</w:t>
      </w:r>
      <w:r w:rsidR="0052529E" w:rsidRPr="00750DE1">
        <w:rPr>
          <w:noProof/>
        </w:rPr>
        <w:t xml:space="preserve">ublic </w:t>
      </w:r>
      <w:r w:rsidR="00931BBE">
        <w:rPr>
          <w:noProof/>
        </w:rPr>
        <w:t>c</w:t>
      </w:r>
      <w:r w:rsidR="0052529E" w:rsidRPr="00750DE1">
        <w:rPr>
          <w:noProof/>
        </w:rPr>
        <w:t>onsultation</w:t>
      </w:r>
      <w:r w:rsidRPr="00750DE1">
        <w:rPr>
          <w:noProof/>
        </w:rPr>
        <w:t xml:space="preserve"> conducted by the Commission in the context of the review of the Regulation pursuant to </w:t>
      </w:r>
      <w:r w:rsidR="000315F4" w:rsidRPr="00750DE1">
        <w:rPr>
          <w:noProof/>
        </w:rPr>
        <w:t>Article</w:t>
      </w:r>
      <w:r w:rsidR="000315F4">
        <w:rPr>
          <w:noProof/>
        </w:rPr>
        <w:t> </w:t>
      </w:r>
      <w:r w:rsidRPr="00750DE1">
        <w:rPr>
          <w:noProof/>
        </w:rPr>
        <w:t>52 FSR</w:t>
      </w:r>
      <w:r w:rsidR="00693E09" w:rsidRPr="00D73DBB">
        <w:rPr>
          <w:noProof/>
        </w:rPr>
        <w:t> (</w:t>
      </w:r>
      <w:r w:rsidR="00693E09" w:rsidRPr="00D73DBB">
        <w:rPr>
          <w:rStyle w:val="FootnoteReference"/>
          <w:noProof/>
        </w:rPr>
        <w:footnoteReference w:id="39"/>
      </w:r>
      <w:r w:rsidR="00693E09" w:rsidRPr="00D73DBB">
        <w:rPr>
          <w:noProof/>
        </w:rPr>
        <w:t>)</w:t>
      </w:r>
      <w:r w:rsidR="009D6C1B" w:rsidRPr="00D73DBB">
        <w:rPr>
          <w:noProof/>
        </w:rPr>
        <w:t xml:space="preserve"> as well as on the </w:t>
      </w:r>
      <w:r w:rsidR="00C82F17" w:rsidRPr="00C82F17">
        <w:rPr>
          <w:noProof/>
        </w:rPr>
        <w:t xml:space="preserve">Practitioners’ </w:t>
      </w:r>
      <w:r w:rsidR="0009027D">
        <w:rPr>
          <w:noProof/>
        </w:rPr>
        <w:t>S</w:t>
      </w:r>
      <w:r w:rsidR="00C82F17" w:rsidRPr="00C82F17">
        <w:rPr>
          <w:noProof/>
        </w:rPr>
        <w:t xml:space="preserve">urvey </w:t>
      </w:r>
      <w:r w:rsidR="00594500">
        <w:rPr>
          <w:noProof/>
        </w:rPr>
        <w:t xml:space="preserve">and the </w:t>
      </w:r>
      <w:r w:rsidR="007A3981">
        <w:rPr>
          <w:noProof/>
        </w:rPr>
        <w:t>target</w:t>
      </w:r>
      <w:r w:rsidR="00594500">
        <w:rPr>
          <w:noProof/>
        </w:rPr>
        <w:t>ed consultations with selected stakeholders</w:t>
      </w:r>
      <w:r w:rsidR="00FC68B1">
        <w:rPr>
          <w:noProof/>
        </w:rPr>
        <w:t xml:space="preserve"> (together the </w:t>
      </w:r>
      <w:r w:rsidR="001238DC">
        <w:rPr>
          <w:noProof/>
        </w:rPr>
        <w:t>‘</w:t>
      </w:r>
      <w:r w:rsidR="003E419B">
        <w:rPr>
          <w:noProof/>
        </w:rPr>
        <w:t>S</w:t>
      </w:r>
      <w:r w:rsidR="00FC68B1">
        <w:rPr>
          <w:noProof/>
        </w:rPr>
        <w:t xml:space="preserve">takeholders’ </w:t>
      </w:r>
      <w:r w:rsidR="003E419B">
        <w:rPr>
          <w:noProof/>
        </w:rPr>
        <w:t>C</w:t>
      </w:r>
      <w:r w:rsidR="00FC68B1">
        <w:rPr>
          <w:noProof/>
        </w:rPr>
        <w:t>onsultations</w:t>
      </w:r>
      <w:r w:rsidR="001238DC">
        <w:rPr>
          <w:noProof/>
        </w:rPr>
        <w:t>’</w:t>
      </w:r>
      <w:r w:rsidR="00FC68B1">
        <w:rPr>
          <w:noProof/>
        </w:rPr>
        <w:t>)</w:t>
      </w:r>
      <w:r w:rsidR="009D6C1B" w:rsidRPr="00D73DBB">
        <w:rPr>
          <w:noProof/>
        </w:rPr>
        <w:t>.</w:t>
      </w:r>
      <w:r w:rsidRPr="00D73DBB">
        <w:rPr>
          <w:noProof/>
        </w:rPr>
        <w:t xml:space="preserve"> </w:t>
      </w:r>
    </w:p>
    <w:p w14:paraId="2B7E7496" w14:textId="6683F08D" w:rsidR="007C343C" w:rsidRPr="00D73DBB" w:rsidRDefault="00AE5B9C" w:rsidP="004A1922">
      <w:pPr>
        <w:rPr>
          <w:noProof/>
        </w:rPr>
      </w:pPr>
      <w:r w:rsidRPr="00750DE1">
        <w:rPr>
          <w:noProof/>
        </w:rPr>
        <w:t>Respondents</w:t>
      </w:r>
      <w:r w:rsidR="00FC68B1">
        <w:rPr>
          <w:noProof/>
        </w:rPr>
        <w:t xml:space="preserve"> to the </w:t>
      </w:r>
      <w:r w:rsidR="003E419B">
        <w:rPr>
          <w:noProof/>
        </w:rPr>
        <w:t>S</w:t>
      </w:r>
      <w:r w:rsidR="00FC68B1">
        <w:rPr>
          <w:noProof/>
        </w:rPr>
        <w:t>takeholder</w:t>
      </w:r>
      <w:r w:rsidR="008B7669">
        <w:rPr>
          <w:noProof/>
        </w:rPr>
        <w:t>s</w:t>
      </w:r>
      <w:r w:rsidR="00FC68B1">
        <w:rPr>
          <w:noProof/>
        </w:rPr>
        <w:t xml:space="preserve">’ </w:t>
      </w:r>
      <w:r w:rsidR="003E419B">
        <w:rPr>
          <w:noProof/>
        </w:rPr>
        <w:t>C</w:t>
      </w:r>
      <w:r w:rsidR="00FC68B1">
        <w:rPr>
          <w:noProof/>
        </w:rPr>
        <w:t>onsultations</w:t>
      </w:r>
      <w:r w:rsidRPr="00750DE1">
        <w:rPr>
          <w:noProof/>
        </w:rPr>
        <w:t xml:space="preserve"> </w:t>
      </w:r>
      <w:r w:rsidRPr="00D73DBB">
        <w:rPr>
          <w:noProof/>
        </w:rPr>
        <w:t xml:space="preserve">broadly acknowledge the relevance and necessity of the </w:t>
      </w:r>
      <w:r w:rsidR="00693E09" w:rsidRPr="00D73DBB">
        <w:rPr>
          <w:noProof/>
        </w:rPr>
        <w:t>FSR</w:t>
      </w:r>
      <w:r w:rsidRPr="00D73DBB">
        <w:rPr>
          <w:noProof/>
        </w:rPr>
        <w:t>. A large majority recognise</w:t>
      </w:r>
      <w:r w:rsidR="00693E09" w:rsidRPr="00D73DBB">
        <w:rPr>
          <w:noProof/>
        </w:rPr>
        <w:t>s</w:t>
      </w:r>
      <w:r w:rsidRPr="00D73DBB">
        <w:rPr>
          <w:noProof/>
        </w:rPr>
        <w:t xml:space="preserve"> that the FSR addresses a regulatory gap that existed prior to its adoption and consider the objective of ensuring a level playing field in the internal market </w:t>
      </w:r>
      <w:r w:rsidR="000315F4">
        <w:rPr>
          <w:noProof/>
        </w:rPr>
        <w:t xml:space="preserve">undistorted by foreign subsidies </w:t>
      </w:r>
      <w:r w:rsidRPr="00D73DBB">
        <w:rPr>
          <w:noProof/>
        </w:rPr>
        <w:t>to be legitimate and appropriate</w:t>
      </w:r>
      <w:r w:rsidRPr="00D73DBB" w:rsidDel="00594500">
        <w:rPr>
          <w:noProof/>
        </w:rPr>
        <w:t>.</w:t>
      </w:r>
      <w:r w:rsidRPr="00D73DBB" w:rsidDel="0078795F">
        <w:rPr>
          <w:noProof/>
        </w:rPr>
        <w:t xml:space="preserve"> </w:t>
      </w:r>
      <w:r w:rsidRPr="00D73DBB">
        <w:rPr>
          <w:noProof/>
        </w:rPr>
        <w:t>Concerns raised in the consultation</w:t>
      </w:r>
      <w:r w:rsidR="00FC68B1">
        <w:rPr>
          <w:noProof/>
        </w:rPr>
        <w:t>s</w:t>
      </w:r>
      <w:r w:rsidRPr="00D73DBB">
        <w:rPr>
          <w:noProof/>
        </w:rPr>
        <w:t xml:space="preserve"> focus primarily on the practical application of the rules and the administrative burden associated with enforcement, rather than on the underlying policy choice to introduce the FSR.</w:t>
      </w:r>
    </w:p>
    <w:p w14:paraId="275F0D96" w14:textId="068FEE37" w:rsidR="000C27D4" w:rsidRDefault="0009027D" w:rsidP="004A1922">
      <w:pPr>
        <w:rPr>
          <w:noProof/>
        </w:rPr>
      </w:pPr>
      <w:r>
        <w:rPr>
          <w:noProof/>
        </w:rPr>
        <w:t>Addressing</w:t>
      </w:r>
      <w:r w:rsidR="00AE5B9C" w:rsidRPr="00D73DBB">
        <w:rPr>
          <w:noProof/>
        </w:rPr>
        <w:t xml:space="preserve"> </w:t>
      </w:r>
      <w:r w:rsidR="00AE5B9C" w:rsidRPr="00A47B29">
        <w:rPr>
          <w:b/>
          <w:noProof/>
        </w:rPr>
        <w:t>Article</w:t>
      </w:r>
      <w:r w:rsidR="000315F4">
        <w:rPr>
          <w:b/>
          <w:noProof/>
        </w:rPr>
        <w:t> </w:t>
      </w:r>
      <w:r w:rsidR="00AE5B9C" w:rsidRPr="00A47B29">
        <w:rPr>
          <w:b/>
          <w:noProof/>
        </w:rPr>
        <w:t>3 FSR</w:t>
      </w:r>
      <w:r w:rsidR="000C26DA" w:rsidRPr="00D73DBB">
        <w:rPr>
          <w:noProof/>
        </w:rPr>
        <w:t>,</w:t>
      </w:r>
      <w:r w:rsidR="00545F83">
        <w:rPr>
          <w:noProof/>
        </w:rPr>
        <w:t xml:space="preserve"> and the concepts of foreign subsidies and FFCs,</w:t>
      </w:r>
      <w:r w:rsidR="000C26DA" w:rsidRPr="00D73DBB">
        <w:rPr>
          <w:noProof/>
        </w:rPr>
        <w:t xml:space="preserve"> </w:t>
      </w:r>
      <w:r w:rsidR="00545F83">
        <w:rPr>
          <w:noProof/>
        </w:rPr>
        <w:t xml:space="preserve">respondents to </w:t>
      </w:r>
      <w:r w:rsidR="00010A20">
        <w:rPr>
          <w:noProof/>
        </w:rPr>
        <w:t xml:space="preserve">the </w:t>
      </w:r>
      <w:r w:rsidR="00D73DBB">
        <w:rPr>
          <w:noProof/>
        </w:rPr>
        <w:t>S</w:t>
      </w:r>
      <w:r w:rsidR="00FC68B1">
        <w:rPr>
          <w:noProof/>
        </w:rPr>
        <w:t>takeholder</w:t>
      </w:r>
      <w:r w:rsidR="008B7669">
        <w:rPr>
          <w:noProof/>
        </w:rPr>
        <w:t>s</w:t>
      </w:r>
      <w:r w:rsidR="00FC68B1">
        <w:rPr>
          <w:noProof/>
        </w:rPr>
        <w:t xml:space="preserve">’ </w:t>
      </w:r>
      <w:r w:rsidR="00D73DBB">
        <w:rPr>
          <w:noProof/>
        </w:rPr>
        <w:t>C</w:t>
      </w:r>
      <w:r w:rsidR="00FC68B1">
        <w:rPr>
          <w:noProof/>
        </w:rPr>
        <w:t>onsultations</w:t>
      </w:r>
      <w:r w:rsidR="00AE5B9C" w:rsidRPr="00750DE1" w:rsidDel="00545F83">
        <w:rPr>
          <w:noProof/>
        </w:rPr>
        <w:t xml:space="preserve"> </w:t>
      </w:r>
      <w:r w:rsidR="00AE5B9C" w:rsidRPr="00750DE1">
        <w:rPr>
          <w:noProof/>
        </w:rPr>
        <w:t xml:space="preserve">generally acknowledge the need for a broad definition of FFCs in order to ensure effective detection of potentially distortive support. </w:t>
      </w:r>
      <w:r w:rsidR="004C76C7">
        <w:rPr>
          <w:noProof/>
        </w:rPr>
        <w:t xml:space="preserve">However, the feedback also indicates </w:t>
      </w:r>
      <w:r w:rsidR="004C76C7" w:rsidRPr="00F36F54" w:rsidDel="00ED15A0">
        <w:rPr>
          <w:noProof/>
        </w:rPr>
        <w:t xml:space="preserve">that the </w:t>
      </w:r>
      <w:r w:rsidR="004C76C7" w:rsidRPr="00F36F54">
        <w:rPr>
          <w:noProof/>
        </w:rPr>
        <w:t xml:space="preserve">concept of </w:t>
      </w:r>
      <w:r w:rsidR="004C76C7">
        <w:rPr>
          <w:noProof/>
        </w:rPr>
        <w:t>FFCs</w:t>
      </w:r>
      <w:r w:rsidR="004C76C7" w:rsidRPr="00F36F54">
        <w:rPr>
          <w:noProof/>
        </w:rPr>
        <w:t xml:space="preserve">, while understood as intentional, generates </w:t>
      </w:r>
      <w:r w:rsidR="004C76C7">
        <w:rPr>
          <w:noProof/>
        </w:rPr>
        <w:t xml:space="preserve">some </w:t>
      </w:r>
      <w:r w:rsidR="004C76C7" w:rsidRPr="00F36F54">
        <w:rPr>
          <w:noProof/>
        </w:rPr>
        <w:t>uncertainty when determining the scope of reportable contributions.</w:t>
      </w:r>
      <w:r w:rsidR="00ED15A0">
        <w:rPr>
          <w:noProof/>
        </w:rPr>
        <w:t xml:space="preserve"> </w:t>
      </w:r>
      <w:r w:rsidR="00ED15A0" w:rsidRPr="00F36F54">
        <w:rPr>
          <w:noProof/>
          <w:lang w:val="en-IE"/>
        </w:rPr>
        <w:t xml:space="preserve">The most </w:t>
      </w:r>
      <w:r w:rsidR="00246059">
        <w:rPr>
          <w:noProof/>
          <w:lang w:val="en-IE"/>
        </w:rPr>
        <w:t xml:space="preserve">salient </w:t>
      </w:r>
      <w:r w:rsidR="00ED15A0" w:rsidRPr="00F36F54">
        <w:rPr>
          <w:noProof/>
          <w:lang w:val="en-IE"/>
        </w:rPr>
        <w:t xml:space="preserve">aspect identified </w:t>
      </w:r>
      <w:r w:rsidR="00931BBE">
        <w:rPr>
          <w:noProof/>
          <w:lang w:val="en-IE"/>
        </w:rPr>
        <w:t>was</w:t>
      </w:r>
      <w:r w:rsidR="00931BBE" w:rsidRPr="00F36F54">
        <w:rPr>
          <w:noProof/>
          <w:lang w:val="en-IE"/>
        </w:rPr>
        <w:t xml:space="preserve"> </w:t>
      </w:r>
      <w:r w:rsidR="00ED15A0" w:rsidRPr="00F36F54">
        <w:rPr>
          <w:noProof/>
          <w:lang w:val="en-IE"/>
        </w:rPr>
        <w:t>the broad scope of the definition, which encompasses a wide range of measures</w:t>
      </w:r>
      <w:r w:rsidR="00456FB3">
        <w:rPr>
          <w:noProof/>
          <w:lang w:val="en-IE"/>
        </w:rPr>
        <w:t xml:space="preserve">, as emerged from </w:t>
      </w:r>
      <w:r w:rsidR="00B32DAA" w:rsidRPr="00B32DAA">
        <w:rPr>
          <w:noProof/>
          <w:lang w:val="en-IE"/>
        </w:rPr>
        <w:t>the Practitioner</w:t>
      </w:r>
      <w:r w:rsidR="00456FB3">
        <w:rPr>
          <w:noProof/>
          <w:lang w:val="en-IE"/>
        </w:rPr>
        <w:t>’</w:t>
      </w:r>
      <w:r w:rsidR="00B32DAA" w:rsidRPr="00B32DAA">
        <w:rPr>
          <w:noProof/>
          <w:lang w:val="en-IE"/>
        </w:rPr>
        <w:t xml:space="preserve">s Survey, where 72% of respondents rated the broad scope of the definition as </w:t>
      </w:r>
      <w:r w:rsidR="00B32DAA">
        <w:rPr>
          <w:noProof/>
          <w:lang w:val="en-IE"/>
        </w:rPr>
        <w:t>a</w:t>
      </w:r>
      <w:r w:rsidR="00B32DAA" w:rsidRPr="00B32DAA">
        <w:rPr>
          <w:noProof/>
          <w:lang w:val="en-IE"/>
        </w:rPr>
        <w:t xml:space="preserve"> </w:t>
      </w:r>
      <w:r w:rsidR="00B32DAA">
        <w:rPr>
          <w:noProof/>
          <w:lang w:val="en-IE"/>
        </w:rPr>
        <w:t xml:space="preserve">significant </w:t>
      </w:r>
      <w:r w:rsidR="00B32DAA" w:rsidRPr="00B32DAA">
        <w:rPr>
          <w:noProof/>
          <w:lang w:val="en-IE"/>
        </w:rPr>
        <w:t>challenge.</w:t>
      </w:r>
      <w:r w:rsidR="00B32DAA">
        <w:rPr>
          <w:noProof/>
          <w:lang w:val="en-IE"/>
        </w:rPr>
        <w:t xml:space="preserve"> </w:t>
      </w:r>
      <w:r w:rsidR="00931BBE">
        <w:rPr>
          <w:noProof/>
          <w:lang w:val="en-IE"/>
        </w:rPr>
        <w:t xml:space="preserve">This </w:t>
      </w:r>
      <w:r w:rsidR="00D73DBB">
        <w:rPr>
          <w:noProof/>
          <w:lang w:val="en-IE"/>
        </w:rPr>
        <w:t xml:space="preserve">results in a </w:t>
      </w:r>
      <w:r w:rsidR="00ED15A0" w:rsidRPr="00F36F54">
        <w:rPr>
          <w:noProof/>
          <w:lang w:val="en-IE"/>
        </w:rPr>
        <w:t xml:space="preserve">burden for </w:t>
      </w:r>
      <w:r w:rsidR="00D73DBB">
        <w:rPr>
          <w:noProof/>
          <w:lang w:val="en-IE"/>
        </w:rPr>
        <w:t>companies which often have to collect information on FFCs</w:t>
      </w:r>
      <w:r w:rsidR="00ED15A0" w:rsidRPr="00F36F54">
        <w:rPr>
          <w:noProof/>
          <w:lang w:val="en-IE"/>
        </w:rPr>
        <w:t xml:space="preserve"> across multiple jurisdictions</w:t>
      </w:r>
      <w:r w:rsidR="003261F2">
        <w:rPr>
          <w:noProof/>
          <w:lang w:val="en-IE"/>
        </w:rPr>
        <w:t xml:space="preserve"> for the purposes of their reporting obligations under </w:t>
      </w:r>
      <w:r w:rsidR="000315F4">
        <w:rPr>
          <w:noProof/>
          <w:lang w:val="en-IE"/>
        </w:rPr>
        <w:t>Chapters </w:t>
      </w:r>
      <w:r w:rsidR="003261F2">
        <w:rPr>
          <w:noProof/>
          <w:lang w:val="en-IE"/>
        </w:rPr>
        <w:t>3 and 4</w:t>
      </w:r>
      <w:r w:rsidR="000315F4">
        <w:rPr>
          <w:noProof/>
          <w:lang w:val="en-IE"/>
        </w:rPr>
        <w:t xml:space="preserve"> FSR</w:t>
      </w:r>
      <w:r w:rsidR="003261F2">
        <w:rPr>
          <w:noProof/>
          <w:lang w:val="en-IE"/>
        </w:rPr>
        <w:t xml:space="preserve">, as detailed </w:t>
      </w:r>
      <w:r w:rsidR="000C094F">
        <w:rPr>
          <w:noProof/>
          <w:lang w:val="en-IE"/>
        </w:rPr>
        <w:t>S</w:t>
      </w:r>
      <w:r w:rsidR="003261F2">
        <w:rPr>
          <w:noProof/>
          <w:lang w:val="en-IE"/>
        </w:rPr>
        <w:t xml:space="preserve">ections </w:t>
      </w:r>
      <w:r w:rsidR="000C094F" w:rsidRPr="0038793C">
        <w:rPr>
          <w:noProof/>
        </w:rPr>
        <w:fldChar w:fldCharType="begin"/>
      </w:r>
      <w:r w:rsidR="000C094F">
        <w:rPr>
          <w:noProof/>
          <w:lang w:val="en-IE"/>
        </w:rPr>
        <w:instrText xml:space="preserve"> REF _Ref227930622 \r \h </w:instrText>
      </w:r>
      <w:r w:rsidR="000C094F" w:rsidRPr="0038793C">
        <w:rPr>
          <w:noProof/>
        </w:rPr>
      </w:r>
      <w:r w:rsidR="000C094F" w:rsidRPr="0038793C">
        <w:rPr>
          <w:noProof/>
          <w:lang w:val="en-IE"/>
        </w:rPr>
        <w:fldChar w:fldCharType="separate"/>
      </w:r>
      <w:r w:rsidR="00227418">
        <w:rPr>
          <w:noProof/>
          <w:lang w:val="en-IE"/>
        </w:rPr>
        <w:t>5.2.3</w:t>
      </w:r>
      <w:r w:rsidR="000C094F" w:rsidRPr="0038793C">
        <w:rPr>
          <w:noProof/>
        </w:rPr>
        <w:fldChar w:fldCharType="end"/>
      </w:r>
      <w:r w:rsidR="000C094F">
        <w:rPr>
          <w:noProof/>
          <w:lang w:val="en-IE"/>
        </w:rPr>
        <w:t xml:space="preserve"> and </w:t>
      </w:r>
      <w:r w:rsidR="000C094F" w:rsidRPr="0038793C">
        <w:rPr>
          <w:noProof/>
        </w:rPr>
        <w:fldChar w:fldCharType="begin"/>
      </w:r>
      <w:r w:rsidR="000C094F">
        <w:rPr>
          <w:noProof/>
          <w:lang w:val="en-IE"/>
        </w:rPr>
        <w:instrText xml:space="preserve"> REF _Ref227930633 \r \h </w:instrText>
      </w:r>
      <w:r w:rsidR="000C094F" w:rsidRPr="0038793C">
        <w:rPr>
          <w:noProof/>
        </w:rPr>
      </w:r>
      <w:r w:rsidR="000C094F" w:rsidRPr="0038793C">
        <w:rPr>
          <w:noProof/>
          <w:lang w:val="en-IE"/>
        </w:rPr>
        <w:fldChar w:fldCharType="separate"/>
      </w:r>
      <w:r w:rsidR="00227418">
        <w:rPr>
          <w:noProof/>
          <w:lang w:val="en-IE"/>
        </w:rPr>
        <w:t>5.2.4</w:t>
      </w:r>
      <w:r w:rsidR="000C094F" w:rsidRPr="0038793C">
        <w:rPr>
          <w:noProof/>
        </w:rPr>
        <w:fldChar w:fldCharType="end"/>
      </w:r>
      <w:r w:rsidR="000C094F">
        <w:rPr>
          <w:noProof/>
          <w:lang w:val="en-IE"/>
        </w:rPr>
        <w:t xml:space="preserve"> respectively</w:t>
      </w:r>
      <w:r w:rsidR="00ED15A0">
        <w:rPr>
          <w:noProof/>
          <w:lang w:val="en-IE"/>
        </w:rPr>
        <w:t>.</w:t>
      </w:r>
      <w:r w:rsidR="0078795F" w:rsidRPr="00D73DBB">
        <w:rPr>
          <w:noProof/>
        </w:rPr>
        <w:t xml:space="preserve"> </w:t>
      </w:r>
    </w:p>
    <w:p w14:paraId="525491D4" w14:textId="2B36E9E4" w:rsidR="00EA4526" w:rsidRPr="00750DE1" w:rsidRDefault="00EA4526" w:rsidP="004A1922">
      <w:pPr>
        <w:rPr>
          <w:noProof/>
          <w:lang w:val="en-IE"/>
        </w:rPr>
      </w:pPr>
      <w:r w:rsidRPr="00D73DBB">
        <w:rPr>
          <w:noProof/>
          <w:lang w:val="en-IE"/>
        </w:rPr>
        <w:t xml:space="preserve">Other concepts within </w:t>
      </w:r>
      <w:r w:rsidR="000315F4" w:rsidRPr="00D73DBB">
        <w:rPr>
          <w:noProof/>
          <w:lang w:val="en-IE"/>
        </w:rPr>
        <w:t>Article</w:t>
      </w:r>
      <w:r w:rsidR="000315F4">
        <w:rPr>
          <w:noProof/>
          <w:lang w:val="en-IE"/>
        </w:rPr>
        <w:t> </w:t>
      </w:r>
      <w:r w:rsidRPr="00D73DBB">
        <w:rPr>
          <w:noProof/>
          <w:lang w:val="en-IE"/>
        </w:rPr>
        <w:t xml:space="preserve">3 </w:t>
      </w:r>
      <w:r w:rsidR="00F86E86">
        <w:rPr>
          <w:noProof/>
          <w:lang w:val="en-IE"/>
        </w:rPr>
        <w:t xml:space="preserve">FSR </w:t>
      </w:r>
      <w:r w:rsidRPr="00750DE1">
        <w:rPr>
          <w:noProof/>
          <w:lang w:val="en-IE"/>
        </w:rPr>
        <w:t xml:space="preserve">were considered </w:t>
      </w:r>
      <w:r w:rsidR="00C30143">
        <w:rPr>
          <w:noProof/>
          <w:lang w:val="en-IE"/>
        </w:rPr>
        <w:t>to be clearer</w:t>
      </w:r>
      <w:r w:rsidRPr="00750DE1">
        <w:rPr>
          <w:noProof/>
          <w:lang w:val="en-IE"/>
        </w:rPr>
        <w:t xml:space="preserve">, such as the definition of a </w:t>
      </w:r>
      <w:r w:rsidR="001238DC">
        <w:rPr>
          <w:noProof/>
          <w:lang w:val="en-IE"/>
        </w:rPr>
        <w:t>‘</w:t>
      </w:r>
      <w:r w:rsidRPr="00750DE1">
        <w:rPr>
          <w:noProof/>
          <w:lang w:val="en-IE"/>
        </w:rPr>
        <w:t>third country</w:t>
      </w:r>
      <w:r w:rsidR="001238DC">
        <w:rPr>
          <w:noProof/>
          <w:lang w:val="en-IE"/>
        </w:rPr>
        <w:t>’</w:t>
      </w:r>
      <w:r w:rsidRPr="00750DE1">
        <w:rPr>
          <w:noProof/>
          <w:lang w:val="en-IE"/>
        </w:rPr>
        <w:t xml:space="preserve">. </w:t>
      </w:r>
      <w:r w:rsidR="00246059">
        <w:rPr>
          <w:noProof/>
          <w:lang w:val="en-IE"/>
        </w:rPr>
        <w:t xml:space="preserve">In addition, </w:t>
      </w:r>
      <w:r w:rsidR="009C6D3E" w:rsidRPr="005F1BD2">
        <w:rPr>
          <w:noProof/>
          <w:lang w:val="en-IE"/>
        </w:rPr>
        <w:t>most</w:t>
      </w:r>
      <w:r w:rsidR="009C6D3E" w:rsidRPr="00750DE1">
        <w:rPr>
          <w:noProof/>
          <w:lang w:val="en-IE"/>
        </w:rPr>
        <w:t xml:space="preserve"> </w:t>
      </w:r>
      <w:r w:rsidR="009C6D3E">
        <w:rPr>
          <w:noProof/>
          <w:lang w:val="en-IE"/>
        </w:rPr>
        <w:t xml:space="preserve">legal practitioners who participated in the survey indicated that </w:t>
      </w:r>
      <w:r w:rsidR="00246059">
        <w:rPr>
          <w:noProof/>
          <w:lang w:val="en-IE"/>
        </w:rPr>
        <w:t>the</w:t>
      </w:r>
      <w:r w:rsidRPr="00750DE1">
        <w:rPr>
          <w:noProof/>
          <w:lang w:val="en-IE"/>
        </w:rPr>
        <w:t xml:space="preserve"> definitions of benefit</w:t>
      </w:r>
      <w:r w:rsidR="004C76C7">
        <w:rPr>
          <w:noProof/>
          <w:lang w:val="en-IE"/>
        </w:rPr>
        <w:t xml:space="preserve"> </w:t>
      </w:r>
      <w:r w:rsidRPr="00750DE1">
        <w:rPr>
          <w:noProof/>
          <w:lang w:val="en-IE"/>
        </w:rPr>
        <w:t xml:space="preserve">and specificity raised </w:t>
      </w:r>
      <w:r w:rsidR="00545F83">
        <w:rPr>
          <w:noProof/>
          <w:lang w:val="en-IE"/>
        </w:rPr>
        <w:t>some</w:t>
      </w:r>
      <w:r w:rsidRPr="00750DE1">
        <w:rPr>
          <w:noProof/>
          <w:lang w:val="en-IE"/>
        </w:rPr>
        <w:t xml:space="preserve"> </w:t>
      </w:r>
      <w:r w:rsidR="008337D4">
        <w:rPr>
          <w:noProof/>
          <w:lang w:val="en-IE"/>
        </w:rPr>
        <w:t>difficulties when they had to be applied for particular cases</w:t>
      </w:r>
      <w:r w:rsidR="009C6D3E">
        <w:rPr>
          <w:noProof/>
          <w:lang w:val="en-IE"/>
        </w:rPr>
        <w:t>.</w:t>
      </w:r>
    </w:p>
    <w:p w14:paraId="228034BA" w14:textId="0A2E4F95" w:rsidR="00D05861" w:rsidRDefault="00AE5B9C" w:rsidP="004A1922">
      <w:pPr>
        <w:rPr>
          <w:noProof/>
        </w:rPr>
      </w:pPr>
      <w:r w:rsidRPr="00D73DBB">
        <w:rPr>
          <w:noProof/>
        </w:rPr>
        <w:t xml:space="preserve">As regards the </w:t>
      </w:r>
      <w:r w:rsidR="000C26DA" w:rsidRPr="00D73DBB">
        <w:rPr>
          <w:noProof/>
        </w:rPr>
        <w:t>assessment of distortion</w:t>
      </w:r>
      <w:r w:rsidRPr="00D73DBB">
        <w:rPr>
          <w:noProof/>
        </w:rPr>
        <w:t xml:space="preserve"> under </w:t>
      </w:r>
      <w:r w:rsidR="000315F4" w:rsidRPr="009A6162">
        <w:rPr>
          <w:b/>
          <w:noProof/>
        </w:rPr>
        <w:t>Article</w:t>
      </w:r>
      <w:r w:rsidR="000315F4">
        <w:rPr>
          <w:b/>
          <w:noProof/>
        </w:rPr>
        <w:t> </w:t>
      </w:r>
      <w:r w:rsidRPr="009A6162">
        <w:rPr>
          <w:b/>
          <w:noProof/>
        </w:rPr>
        <w:t>4</w:t>
      </w:r>
      <w:r w:rsidR="000C26DA" w:rsidRPr="009A6162">
        <w:rPr>
          <w:b/>
          <w:noProof/>
        </w:rPr>
        <w:t xml:space="preserve"> FSR</w:t>
      </w:r>
      <w:r w:rsidRPr="00750DE1">
        <w:rPr>
          <w:noProof/>
        </w:rPr>
        <w:t>, respondents</w:t>
      </w:r>
      <w:r w:rsidR="00FC68B1">
        <w:rPr>
          <w:noProof/>
        </w:rPr>
        <w:t xml:space="preserve"> to the public consultation</w:t>
      </w:r>
      <w:r w:rsidRPr="00750DE1">
        <w:rPr>
          <w:noProof/>
        </w:rPr>
        <w:t xml:space="preserve"> express mixed views. While </w:t>
      </w:r>
      <w:r w:rsidR="00DA2948">
        <w:rPr>
          <w:noProof/>
        </w:rPr>
        <w:t>10</w:t>
      </w:r>
      <w:r w:rsidRPr="00750DE1">
        <w:rPr>
          <w:noProof/>
        </w:rPr>
        <w:t xml:space="preserve"> stakeholders</w:t>
      </w:r>
      <w:r w:rsidR="00250CFF">
        <w:rPr>
          <w:noProof/>
        </w:rPr>
        <w:t xml:space="preserve"> out of the 54 submissions</w:t>
      </w:r>
      <w:r w:rsidRPr="00750DE1">
        <w:rPr>
          <w:noProof/>
        </w:rPr>
        <w:t xml:space="preserve"> consider the provision sufficiently clear, </w:t>
      </w:r>
      <w:r w:rsidR="00DA2948">
        <w:rPr>
          <w:noProof/>
        </w:rPr>
        <w:t>28 stakeholders</w:t>
      </w:r>
      <w:r w:rsidRPr="00750DE1">
        <w:rPr>
          <w:noProof/>
        </w:rPr>
        <w:t xml:space="preserve"> report difficulties in predicting how the concept of distortion will be applied in individual cases. The limited body of Commission decisional practice </w:t>
      </w:r>
      <w:r w:rsidR="009C6D3E" w:rsidRPr="009C6D3E">
        <w:rPr>
          <w:noProof/>
        </w:rPr>
        <w:t>at the time of the survey responses</w:t>
      </w:r>
      <w:r w:rsidR="00715E83">
        <w:rPr>
          <w:noProof/>
        </w:rPr>
        <w:t xml:space="preserve"> </w:t>
      </w:r>
      <w:r w:rsidRPr="00750DE1">
        <w:rPr>
          <w:noProof/>
        </w:rPr>
        <w:t xml:space="preserve">is cited </w:t>
      </w:r>
      <w:r w:rsidR="00DA2948">
        <w:rPr>
          <w:noProof/>
        </w:rPr>
        <w:t>by 3</w:t>
      </w:r>
      <w:r w:rsidR="000315F4">
        <w:rPr>
          <w:noProof/>
        </w:rPr>
        <w:t> </w:t>
      </w:r>
      <w:r w:rsidR="00DA2948">
        <w:rPr>
          <w:noProof/>
        </w:rPr>
        <w:t xml:space="preserve">stakeholders </w:t>
      </w:r>
      <w:r w:rsidRPr="00750DE1">
        <w:rPr>
          <w:noProof/>
        </w:rPr>
        <w:t>as a factor contributing to this uncertainty.</w:t>
      </w:r>
      <w:r w:rsidR="00ED15A0">
        <w:rPr>
          <w:noProof/>
        </w:rPr>
        <w:t xml:space="preserve"> </w:t>
      </w:r>
      <w:r w:rsidR="00ED15A0" w:rsidRPr="00F36F54">
        <w:rPr>
          <w:noProof/>
          <w:lang w:val="en-IE"/>
        </w:rPr>
        <w:t xml:space="preserve">In the </w:t>
      </w:r>
      <w:r w:rsidR="00C82F17" w:rsidRPr="00C82F17">
        <w:rPr>
          <w:noProof/>
          <w:lang w:val="en-IE"/>
        </w:rPr>
        <w:t xml:space="preserve">Practitioners’ </w:t>
      </w:r>
      <w:r w:rsidR="0009027D">
        <w:rPr>
          <w:noProof/>
          <w:lang w:val="en-IE"/>
        </w:rPr>
        <w:t>S</w:t>
      </w:r>
      <w:r w:rsidR="00C82F17" w:rsidRPr="00C82F17">
        <w:rPr>
          <w:noProof/>
          <w:lang w:val="en-IE"/>
        </w:rPr>
        <w:t>urvey</w:t>
      </w:r>
      <w:r w:rsidR="00ED15A0" w:rsidRPr="00F36F54">
        <w:rPr>
          <w:noProof/>
          <w:lang w:val="en-IE"/>
        </w:rPr>
        <w:t>, respondents</w:t>
      </w:r>
      <w:r w:rsidR="00545F83">
        <w:rPr>
          <w:noProof/>
          <w:lang w:val="en-IE"/>
        </w:rPr>
        <w:t xml:space="preserve"> also</w:t>
      </w:r>
      <w:r w:rsidR="00ED15A0" w:rsidRPr="00F36F54">
        <w:rPr>
          <w:noProof/>
          <w:lang w:val="en-IE"/>
        </w:rPr>
        <w:t xml:space="preserve"> identified the limited guidance on determining when a foreign subsidy is distortive as a challenge. </w:t>
      </w:r>
      <w:r w:rsidRPr="00D73DBB">
        <w:rPr>
          <w:noProof/>
        </w:rPr>
        <w:t>Respondents</w:t>
      </w:r>
      <w:r w:rsidRPr="00D73DBB" w:rsidDel="006465FE">
        <w:rPr>
          <w:noProof/>
        </w:rPr>
        <w:t xml:space="preserve"> </w:t>
      </w:r>
      <w:r w:rsidR="00715E83">
        <w:rPr>
          <w:noProof/>
        </w:rPr>
        <w:t>mention</w:t>
      </w:r>
      <w:r w:rsidRPr="00D73DBB">
        <w:rPr>
          <w:noProof/>
        </w:rPr>
        <w:t xml:space="preserve"> the lack of benchmarks or concrete examples illustrating </w:t>
      </w:r>
      <w:r w:rsidR="006465FE" w:rsidRPr="00D73DBB">
        <w:rPr>
          <w:noProof/>
        </w:rPr>
        <w:t>h</w:t>
      </w:r>
      <w:r w:rsidRPr="00D73DBB">
        <w:rPr>
          <w:noProof/>
        </w:rPr>
        <w:t>ow</w:t>
      </w:r>
      <w:r w:rsidR="006465FE" w:rsidRPr="00D73DBB">
        <w:rPr>
          <w:noProof/>
        </w:rPr>
        <w:t xml:space="preserve"> the indicators under </w:t>
      </w:r>
      <w:r w:rsidR="000315F4" w:rsidRPr="00D73DBB">
        <w:rPr>
          <w:noProof/>
        </w:rPr>
        <w:t>Article</w:t>
      </w:r>
      <w:r w:rsidR="000315F4">
        <w:rPr>
          <w:noProof/>
        </w:rPr>
        <w:t> </w:t>
      </w:r>
      <w:r w:rsidR="006465FE" w:rsidRPr="00D73DBB">
        <w:rPr>
          <w:noProof/>
        </w:rPr>
        <w:t>4</w:t>
      </w:r>
      <w:r w:rsidR="00452E1A">
        <w:rPr>
          <w:noProof/>
        </w:rPr>
        <w:t xml:space="preserve"> FSR</w:t>
      </w:r>
      <w:r w:rsidR="006465FE" w:rsidRPr="00D73DBB">
        <w:rPr>
          <w:noProof/>
        </w:rPr>
        <w:t xml:space="preserve"> are used and how</w:t>
      </w:r>
      <w:r w:rsidRPr="00D73DBB">
        <w:rPr>
          <w:noProof/>
        </w:rPr>
        <w:t xml:space="preserve"> improvements in an undertaking’s competitive position translate into a finding of distortion in the internal market.</w:t>
      </w:r>
      <w:r w:rsidR="000C26DA" w:rsidRPr="00D73DBB">
        <w:rPr>
          <w:noProof/>
        </w:rPr>
        <w:t xml:space="preserve"> </w:t>
      </w:r>
      <w:r w:rsidR="00ED15A0">
        <w:rPr>
          <w:noProof/>
        </w:rPr>
        <w:t xml:space="preserve">According to the results of </w:t>
      </w:r>
      <w:r w:rsidR="007D30DF">
        <w:rPr>
          <w:noProof/>
        </w:rPr>
        <w:t xml:space="preserve">the </w:t>
      </w:r>
      <w:r w:rsidR="00C82F17" w:rsidRPr="00C82F17">
        <w:rPr>
          <w:noProof/>
        </w:rPr>
        <w:t xml:space="preserve">Practitioners’ </w:t>
      </w:r>
      <w:r w:rsidR="0009027D">
        <w:rPr>
          <w:noProof/>
        </w:rPr>
        <w:t>S</w:t>
      </w:r>
      <w:r w:rsidR="00C82F17" w:rsidRPr="00C82F17">
        <w:rPr>
          <w:noProof/>
        </w:rPr>
        <w:t>urvey</w:t>
      </w:r>
      <w:r w:rsidR="00ED15A0">
        <w:rPr>
          <w:noProof/>
        </w:rPr>
        <w:t>, t</w:t>
      </w:r>
      <w:r w:rsidR="00EC6180" w:rsidRPr="00750DE1">
        <w:rPr>
          <w:noProof/>
        </w:rPr>
        <w:t>he guidance on categories of non-distortive subsidies (</w:t>
      </w:r>
      <w:r w:rsidR="000315F4" w:rsidRPr="00750DE1">
        <w:rPr>
          <w:noProof/>
        </w:rPr>
        <w:t>Articles</w:t>
      </w:r>
      <w:r w:rsidR="000315F4">
        <w:rPr>
          <w:noProof/>
        </w:rPr>
        <w:t> </w:t>
      </w:r>
      <w:r w:rsidR="00EC6180" w:rsidRPr="00750DE1">
        <w:rPr>
          <w:noProof/>
        </w:rPr>
        <w:t>4(3) and 4(4)</w:t>
      </w:r>
      <w:r w:rsidR="00ED15A0">
        <w:rPr>
          <w:noProof/>
        </w:rPr>
        <w:t xml:space="preserve"> FSR</w:t>
      </w:r>
      <w:r w:rsidR="00EC6180" w:rsidRPr="00750DE1">
        <w:rPr>
          <w:noProof/>
        </w:rPr>
        <w:t xml:space="preserve">) was </w:t>
      </w:r>
      <w:r w:rsidR="00C30143">
        <w:rPr>
          <w:noProof/>
        </w:rPr>
        <w:t xml:space="preserve">considered </w:t>
      </w:r>
      <w:r w:rsidR="00D73DBB">
        <w:rPr>
          <w:noProof/>
        </w:rPr>
        <w:t>sufficiently</w:t>
      </w:r>
      <w:r w:rsidR="00C30143">
        <w:rPr>
          <w:noProof/>
        </w:rPr>
        <w:t xml:space="preserve"> clear</w:t>
      </w:r>
      <w:r w:rsidR="00EC6180" w:rsidRPr="00D73DBB">
        <w:rPr>
          <w:noProof/>
        </w:rPr>
        <w:t>. In particular,</w:t>
      </w:r>
      <w:r w:rsidR="00FC68B1">
        <w:rPr>
          <w:noProof/>
        </w:rPr>
        <w:t xml:space="preserve"> </w:t>
      </w:r>
      <w:r w:rsidR="00EC6180" w:rsidRPr="00D73DBB">
        <w:rPr>
          <w:noProof/>
        </w:rPr>
        <w:t xml:space="preserve">guidance for subsidies unlikely to be distortive when the subsidy does not exceed </w:t>
      </w:r>
      <w:r w:rsidR="000315F4" w:rsidRPr="00D73DBB">
        <w:rPr>
          <w:noProof/>
        </w:rPr>
        <w:t>EUR</w:t>
      </w:r>
      <w:r w:rsidR="000315F4">
        <w:rPr>
          <w:noProof/>
        </w:rPr>
        <w:t> </w:t>
      </w:r>
      <w:r w:rsidR="00EC6180" w:rsidRPr="00D73DBB">
        <w:rPr>
          <w:noProof/>
        </w:rPr>
        <w:t xml:space="preserve">4 million over any consecutive period of three years, was viewed positively. </w:t>
      </w:r>
    </w:p>
    <w:p w14:paraId="72141F99" w14:textId="77021F58" w:rsidR="00D05861" w:rsidRPr="00750DE1" w:rsidRDefault="00AE5B9C" w:rsidP="004A1922">
      <w:pPr>
        <w:rPr>
          <w:noProof/>
        </w:rPr>
      </w:pPr>
      <w:r w:rsidRPr="00D73DBB">
        <w:rPr>
          <w:noProof/>
        </w:rPr>
        <w:t xml:space="preserve">Stakeholders generally view </w:t>
      </w:r>
      <w:r w:rsidR="000315F4" w:rsidRPr="009A6162">
        <w:rPr>
          <w:b/>
          <w:noProof/>
        </w:rPr>
        <w:t>Article</w:t>
      </w:r>
      <w:r w:rsidR="000315F4">
        <w:rPr>
          <w:b/>
          <w:noProof/>
        </w:rPr>
        <w:t> </w:t>
      </w:r>
      <w:r w:rsidRPr="009A6162">
        <w:rPr>
          <w:b/>
          <w:noProof/>
        </w:rPr>
        <w:t>5</w:t>
      </w:r>
      <w:r w:rsidR="000C26DA" w:rsidRPr="009A6162">
        <w:rPr>
          <w:b/>
          <w:noProof/>
        </w:rPr>
        <w:t xml:space="preserve"> FSR</w:t>
      </w:r>
      <w:r w:rsidR="000C26DA" w:rsidRPr="00D73DBB">
        <w:rPr>
          <w:noProof/>
        </w:rPr>
        <w:t xml:space="preserve"> </w:t>
      </w:r>
      <w:r w:rsidRPr="00D73DBB">
        <w:rPr>
          <w:noProof/>
        </w:rPr>
        <w:t xml:space="preserve">as a useful </w:t>
      </w:r>
      <w:r w:rsidR="00C30143">
        <w:rPr>
          <w:noProof/>
        </w:rPr>
        <w:t>indicator of the Commission’s priorit</w:t>
      </w:r>
      <w:r w:rsidR="00D73DBB">
        <w:rPr>
          <w:noProof/>
        </w:rPr>
        <w:t>ies</w:t>
      </w:r>
      <w:r w:rsidR="00C30143">
        <w:rPr>
          <w:noProof/>
        </w:rPr>
        <w:t xml:space="preserve"> in</w:t>
      </w:r>
      <w:r w:rsidRPr="00D73DBB">
        <w:rPr>
          <w:noProof/>
        </w:rPr>
        <w:t xml:space="preserve"> enforc</w:t>
      </w:r>
      <w:r w:rsidR="00C30143">
        <w:rPr>
          <w:noProof/>
        </w:rPr>
        <w:t>ing the FSR, as it</w:t>
      </w:r>
      <w:r w:rsidRPr="00750DE1">
        <w:rPr>
          <w:noProof/>
        </w:rPr>
        <w:t xml:space="preserve"> identif</w:t>
      </w:r>
      <w:r w:rsidR="00C30143">
        <w:rPr>
          <w:noProof/>
        </w:rPr>
        <w:t>ies</w:t>
      </w:r>
      <w:r w:rsidRPr="00D73DBB">
        <w:rPr>
          <w:noProof/>
        </w:rPr>
        <w:t xml:space="preserve"> </w:t>
      </w:r>
      <w:r w:rsidR="006465FE" w:rsidRPr="00D73DBB">
        <w:rPr>
          <w:noProof/>
        </w:rPr>
        <w:t>categories</w:t>
      </w:r>
      <w:r w:rsidRPr="00D73DBB">
        <w:rPr>
          <w:noProof/>
        </w:rPr>
        <w:t xml:space="preserve"> of foreign subsidies that are more likely to </w:t>
      </w:r>
      <w:r w:rsidR="006465FE" w:rsidRPr="00D73DBB">
        <w:rPr>
          <w:noProof/>
        </w:rPr>
        <w:t>distort</w:t>
      </w:r>
      <w:r w:rsidRPr="00D73DBB">
        <w:rPr>
          <w:noProof/>
        </w:rPr>
        <w:t xml:space="preserve"> the internal market. However, </w:t>
      </w:r>
      <w:r w:rsidR="00022C44" w:rsidRPr="00D73DBB">
        <w:rPr>
          <w:noProof/>
        </w:rPr>
        <w:t>around</w:t>
      </w:r>
      <w:r w:rsidRPr="00D73DBB">
        <w:rPr>
          <w:noProof/>
        </w:rPr>
        <w:t xml:space="preserve"> </w:t>
      </w:r>
      <w:r w:rsidR="006465FE" w:rsidRPr="00D73DBB">
        <w:rPr>
          <w:noProof/>
        </w:rPr>
        <w:t xml:space="preserve">half of the </w:t>
      </w:r>
      <w:r w:rsidRPr="00D73DBB">
        <w:rPr>
          <w:noProof/>
        </w:rPr>
        <w:t>respondents</w:t>
      </w:r>
      <w:r w:rsidR="00FC68B1">
        <w:rPr>
          <w:noProof/>
        </w:rPr>
        <w:t xml:space="preserve"> to the public consultation</w:t>
      </w:r>
      <w:r w:rsidRPr="00750DE1">
        <w:rPr>
          <w:noProof/>
        </w:rPr>
        <w:t xml:space="preserve"> raise concerns </w:t>
      </w:r>
      <w:r w:rsidR="00EF55E6">
        <w:rPr>
          <w:noProof/>
        </w:rPr>
        <w:t>about</w:t>
      </w:r>
      <w:r w:rsidR="00EF55E6" w:rsidRPr="00750DE1">
        <w:rPr>
          <w:noProof/>
        </w:rPr>
        <w:t xml:space="preserve"> </w:t>
      </w:r>
      <w:r w:rsidRPr="00750DE1">
        <w:rPr>
          <w:noProof/>
        </w:rPr>
        <w:t xml:space="preserve">the breadth of certain categories listed in </w:t>
      </w:r>
      <w:r w:rsidR="000315F4" w:rsidRPr="00750DE1">
        <w:rPr>
          <w:noProof/>
        </w:rPr>
        <w:t>Article</w:t>
      </w:r>
      <w:r w:rsidR="000315F4">
        <w:rPr>
          <w:noProof/>
        </w:rPr>
        <w:t> </w:t>
      </w:r>
      <w:r w:rsidRPr="00750DE1">
        <w:rPr>
          <w:noProof/>
        </w:rPr>
        <w:t xml:space="preserve">5 </w:t>
      </w:r>
      <w:r w:rsidR="00452E1A">
        <w:rPr>
          <w:noProof/>
        </w:rPr>
        <w:t xml:space="preserve">FSR </w:t>
      </w:r>
      <w:r w:rsidRPr="00D73DBB">
        <w:rPr>
          <w:noProof/>
        </w:rPr>
        <w:t xml:space="preserve">and the clarity of their scope. In particular, </w:t>
      </w:r>
      <w:r w:rsidR="00DA2948">
        <w:rPr>
          <w:noProof/>
        </w:rPr>
        <w:t>18</w:t>
      </w:r>
      <w:r w:rsidRPr="00D73DBB">
        <w:rPr>
          <w:noProof/>
        </w:rPr>
        <w:t xml:space="preserve"> respondents point to </w:t>
      </w:r>
      <w:r w:rsidR="00715E83">
        <w:rPr>
          <w:noProof/>
        </w:rPr>
        <w:t>some</w:t>
      </w:r>
      <w:r w:rsidRPr="00D73DBB">
        <w:rPr>
          <w:noProof/>
        </w:rPr>
        <w:t xml:space="preserve"> uncertainty surrounding the criterion of subsidies that </w:t>
      </w:r>
      <w:r w:rsidR="001238DC">
        <w:rPr>
          <w:noProof/>
        </w:rPr>
        <w:t>‘</w:t>
      </w:r>
      <w:r w:rsidR="006465FE" w:rsidRPr="00D73DBB">
        <w:rPr>
          <w:noProof/>
        </w:rPr>
        <w:t>directly</w:t>
      </w:r>
      <w:r w:rsidRPr="00D73DBB">
        <w:rPr>
          <w:noProof/>
        </w:rPr>
        <w:t xml:space="preserve"> facilitate a concentration</w:t>
      </w:r>
      <w:r w:rsidR="001238DC">
        <w:rPr>
          <w:noProof/>
        </w:rPr>
        <w:t>’</w:t>
      </w:r>
      <w:r w:rsidR="006465FE" w:rsidRPr="00D73DBB">
        <w:rPr>
          <w:noProof/>
        </w:rPr>
        <w:t xml:space="preserve"> or enabling the submission of </w:t>
      </w:r>
      <w:r w:rsidR="001238DC">
        <w:rPr>
          <w:noProof/>
        </w:rPr>
        <w:t>‘</w:t>
      </w:r>
      <w:r w:rsidR="006465FE" w:rsidRPr="00D73DBB">
        <w:rPr>
          <w:noProof/>
        </w:rPr>
        <w:t>unduly advantageous tenders</w:t>
      </w:r>
      <w:r w:rsidR="001238DC">
        <w:rPr>
          <w:noProof/>
        </w:rPr>
        <w:t>’</w:t>
      </w:r>
      <w:r w:rsidRPr="00D73DBB">
        <w:rPr>
          <w:noProof/>
        </w:rPr>
        <w:t xml:space="preserve">. </w:t>
      </w:r>
      <w:r w:rsidR="00ED15A0">
        <w:rPr>
          <w:noProof/>
          <w:lang w:val="en-IE"/>
        </w:rPr>
        <w:t>Similarly, i</w:t>
      </w:r>
      <w:r w:rsidR="00D05861" w:rsidRPr="00D73DBB">
        <w:rPr>
          <w:noProof/>
          <w:lang w:val="en-IE"/>
        </w:rPr>
        <w:t xml:space="preserve">n the </w:t>
      </w:r>
      <w:r w:rsidR="00595ACB">
        <w:rPr>
          <w:noProof/>
          <w:lang w:val="en-IE"/>
        </w:rPr>
        <w:t>P</w:t>
      </w:r>
      <w:r w:rsidR="00883258" w:rsidRPr="00883258">
        <w:rPr>
          <w:noProof/>
          <w:lang w:val="en-IE"/>
        </w:rPr>
        <w:t xml:space="preserve">ractitioners’ </w:t>
      </w:r>
      <w:r w:rsidR="00EF55E6">
        <w:rPr>
          <w:noProof/>
          <w:lang w:val="en-IE"/>
        </w:rPr>
        <w:t>S</w:t>
      </w:r>
      <w:r w:rsidR="00883258" w:rsidRPr="00883258">
        <w:rPr>
          <w:noProof/>
          <w:lang w:val="en-IE"/>
        </w:rPr>
        <w:t>urvey</w:t>
      </w:r>
      <w:r w:rsidR="00D05861" w:rsidRPr="00750DE1">
        <w:rPr>
          <w:noProof/>
          <w:lang w:val="en-IE"/>
        </w:rPr>
        <w:t xml:space="preserve">, views on the categories of likely distortive subsidies set out in </w:t>
      </w:r>
      <w:r w:rsidR="000315F4" w:rsidRPr="00750DE1">
        <w:rPr>
          <w:noProof/>
          <w:lang w:val="en-IE"/>
        </w:rPr>
        <w:t>Article</w:t>
      </w:r>
      <w:r w:rsidR="000315F4">
        <w:rPr>
          <w:noProof/>
          <w:lang w:val="en-IE"/>
        </w:rPr>
        <w:t> </w:t>
      </w:r>
      <w:r w:rsidR="00D05861" w:rsidRPr="00750DE1">
        <w:rPr>
          <w:noProof/>
          <w:lang w:val="en-IE"/>
        </w:rPr>
        <w:t>5</w:t>
      </w:r>
      <w:r w:rsidR="00452E1A">
        <w:rPr>
          <w:noProof/>
          <w:lang w:val="en-IE"/>
        </w:rPr>
        <w:t xml:space="preserve"> FSR</w:t>
      </w:r>
      <w:r w:rsidR="00D05861" w:rsidRPr="00750DE1">
        <w:rPr>
          <w:noProof/>
          <w:lang w:val="en-IE"/>
        </w:rPr>
        <w:t xml:space="preserve"> were mixed. </w:t>
      </w:r>
      <w:r w:rsidR="00D05861" w:rsidRPr="00750DE1">
        <w:rPr>
          <w:noProof/>
        </w:rPr>
        <w:t xml:space="preserve">Specific concerns were raised </w:t>
      </w:r>
      <w:r w:rsidR="00EF55E6">
        <w:rPr>
          <w:noProof/>
        </w:rPr>
        <w:t>about</w:t>
      </w:r>
      <w:r w:rsidR="00EF55E6" w:rsidRPr="00750DE1">
        <w:rPr>
          <w:noProof/>
        </w:rPr>
        <w:t xml:space="preserve"> </w:t>
      </w:r>
      <w:r w:rsidR="00D05861" w:rsidRPr="00750DE1">
        <w:rPr>
          <w:noProof/>
        </w:rPr>
        <w:t xml:space="preserve">the </w:t>
      </w:r>
      <w:r w:rsidR="001238DC">
        <w:rPr>
          <w:noProof/>
        </w:rPr>
        <w:t>‘</w:t>
      </w:r>
      <w:r w:rsidR="00D05861" w:rsidRPr="00750DE1">
        <w:rPr>
          <w:noProof/>
        </w:rPr>
        <w:t>unduly advantageous tender</w:t>
      </w:r>
      <w:r w:rsidR="001238DC">
        <w:rPr>
          <w:noProof/>
        </w:rPr>
        <w:t>’</w:t>
      </w:r>
      <w:r w:rsidR="00D05861" w:rsidRPr="00750DE1">
        <w:rPr>
          <w:noProof/>
        </w:rPr>
        <w:t xml:space="preserve"> criterion in public procurement, as well as the limited guidance in </w:t>
      </w:r>
      <w:r w:rsidR="000315F4" w:rsidRPr="00750DE1">
        <w:rPr>
          <w:noProof/>
        </w:rPr>
        <w:t>Article</w:t>
      </w:r>
      <w:r w:rsidR="000315F4">
        <w:rPr>
          <w:noProof/>
        </w:rPr>
        <w:t> </w:t>
      </w:r>
      <w:r w:rsidR="00D05861" w:rsidRPr="00750DE1">
        <w:rPr>
          <w:noProof/>
        </w:rPr>
        <w:t xml:space="preserve">5 </w:t>
      </w:r>
      <w:r w:rsidR="00452E1A">
        <w:rPr>
          <w:noProof/>
        </w:rPr>
        <w:t xml:space="preserve">FSR </w:t>
      </w:r>
      <w:r w:rsidR="00D05861" w:rsidRPr="00750DE1">
        <w:rPr>
          <w:noProof/>
        </w:rPr>
        <w:t xml:space="preserve">on how to apply the </w:t>
      </w:r>
      <w:r w:rsidR="001238DC">
        <w:rPr>
          <w:noProof/>
        </w:rPr>
        <w:t>‘</w:t>
      </w:r>
      <w:r w:rsidR="00D05861" w:rsidRPr="00750DE1">
        <w:rPr>
          <w:noProof/>
        </w:rPr>
        <w:t>enabling to submit</w:t>
      </w:r>
      <w:r w:rsidR="001238DC">
        <w:rPr>
          <w:noProof/>
        </w:rPr>
        <w:t>’</w:t>
      </w:r>
      <w:r w:rsidR="00D05861" w:rsidRPr="00750DE1">
        <w:rPr>
          <w:noProof/>
        </w:rPr>
        <w:t xml:space="preserve"> criterion. Respondents with procurement experience reported difficulties in assessing whether a tender is </w:t>
      </w:r>
      <w:r w:rsidR="001238DC">
        <w:rPr>
          <w:noProof/>
        </w:rPr>
        <w:t>‘</w:t>
      </w:r>
      <w:r w:rsidR="00D05861" w:rsidRPr="00750DE1">
        <w:rPr>
          <w:noProof/>
        </w:rPr>
        <w:t>advantageous</w:t>
      </w:r>
      <w:r w:rsidR="001238DC">
        <w:rPr>
          <w:noProof/>
        </w:rPr>
        <w:t>’</w:t>
      </w:r>
      <w:r w:rsidR="00D05861" w:rsidRPr="00750DE1">
        <w:rPr>
          <w:noProof/>
        </w:rPr>
        <w:t xml:space="preserve">, determining when such an advantage becomes </w:t>
      </w:r>
      <w:r w:rsidR="001238DC">
        <w:rPr>
          <w:noProof/>
        </w:rPr>
        <w:t>‘</w:t>
      </w:r>
      <w:r w:rsidR="00D05861" w:rsidRPr="00750DE1">
        <w:rPr>
          <w:noProof/>
        </w:rPr>
        <w:t>undue</w:t>
      </w:r>
      <w:r w:rsidR="001238DC">
        <w:rPr>
          <w:noProof/>
        </w:rPr>
        <w:t>’</w:t>
      </w:r>
      <w:r w:rsidR="00D05861" w:rsidRPr="00750DE1">
        <w:rPr>
          <w:noProof/>
        </w:rPr>
        <w:t>, and substantiating these assessments with appropriate evidence, including identifying factors that may justify the advantageous nature of a tender.</w:t>
      </w:r>
      <w:r w:rsidR="00EC6180" w:rsidRPr="00750DE1">
        <w:rPr>
          <w:noProof/>
        </w:rPr>
        <w:t xml:space="preserve"> </w:t>
      </w:r>
      <w:r w:rsidR="00EC6180" w:rsidRPr="00594500">
        <w:rPr>
          <w:noProof/>
        </w:rPr>
        <w:t xml:space="preserve">Assessing the impact of foreign subsidies on concentrations was rated a moderate challenge by a majority of respondents with concentration experience, due to the </w:t>
      </w:r>
      <w:r w:rsidR="00715E83">
        <w:rPr>
          <w:noProof/>
        </w:rPr>
        <w:t>need to</w:t>
      </w:r>
      <w:r w:rsidR="00EC6180" w:rsidRPr="00594500">
        <w:rPr>
          <w:noProof/>
        </w:rPr>
        <w:t xml:space="preserve"> evaluat</w:t>
      </w:r>
      <w:r w:rsidR="00715E83">
        <w:rPr>
          <w:noProof/>
        </w:rPr>
        <w:t>e</w:t>
      </w:r>
      <w:r w:rsidR="00EC6180" w:rsidRPr="00594500">
        <w:rPr>
          <w:noProof/>
        </w:rPr>
        <w:t xml:space="preserve"> counterfactual scenarios.</w:t>
      </w:r>
    </w:p>
    <w:p w14:paraId="1EA4B15B" w14:textId="59CCCD32" w:rsidR="003D4D9C" w:rsidRDefault="003D4D9C" w:rsidP="004A1922">
      <w:pPr>
        <w:rPr>
          <w:noProof/>
        </w:rPr>
      </w:pPr>
      <w:r w:rsidRPr="00750DE1">
        <w:rPr>
          <w:noProof/>
        </w:rPr>
        <w:t xml:space="preserve">As regards </w:t>
      </w:r>
      <w:r w:rsidR="000315F4" w:rsidRPr="00A47B29">
        <w:rPr>
          <w:b/>
          <w:noProof/>
        </w:rPr>
        <w:t>Article</w:t>
      </w:r>
      <w:r w:rsidR="000315F4">
        <w:rPr>
          <w:b/>
          <w:noProof/>
        </w:rPr>
        <w:t> </w:t>
      </w:r>
      <w:r w:rsidRPr="00A47B29">
        <w:rPr>
          <w:b/>
          <w:noProof/>
        </w:rPr>
        <w:t>6</w:t>
      </w:r>
      <w:r w:rsidR="006F461D" w:rsidRPr="00A47B29">
        <w:rPr>
          <w:b/>
          <w:noProof/>
        </w:rPr>
        <w:t xml:space="preserve"> FSR</w:t>
      </w:r>
      <w:r w:rsidRPr="00750DE1">
        <w:rPr>
          <w:noProof/>
        </w:rPr>
        <w:t xml:space="preserve">, </w:t>
      </w:r>
      <w:r w:rsidR="000315F4">
        <w:rPr>
          <w:noProof/>
        </w:rPr>
        <w:t>stakeholders</w:t>
      </w:r>
      <w:r w:rsidR="000315F4" w:rsidRPr="00750DE1">
        <w:rPr>
          <w:noProof/>
        </w:rPr>
        <w:t xml:space="preserve"> </w:t>
      </w:r>
      <w:r w:rsidR="000315F4">
        <w:rPr>
          <w:noProof/>
        </w:rPr>
        <w:t>welcome</w:t>
      </w:r>
      <w:r w:rsidRPr="00750DE1">
        <w:rPr>
          <w:noProof/>
        </w:rPr>
        <w:t xml:space="preserve"> the </w:t>
      </w:r>
      <w:r w:rsidR="00C30143">
        <w:rPr>
          <w:noProof/>
        </w:rPr>
        <w:t xml:space="preserve">existence </w:t>
      </w:r>
      <w:r w:rsidRPr="00D73DBB">
        <w:rPr>
          <w:noProof/>
        </w:rPr>
        <w:t xml:space="preserve">of </w:t>
      </w:r>
      <w:r w:rsidR="006465FE" w:rsidRPr="00D73DBB">
        <w:rPr>
          <w:noProof/>
        </w:rPr>
        <w:t xml:space="preserve">the balancing </w:t>
      </w:r>
      <w:r w:rsidRPr="00D73DBB" w:rsidDel="006465FE">
        <w:rPr>
          <w:noProof/>
        </w:rPr>
        <w:t>test</w:t>
      </w:r>
      <w:r w:rsidRPr="00750DE1">
        <w:rPr>
          <w:noProof/>
        </w:rPr>
        <w:t>. However</w:t>
      </w:r>
      <w:r w:rsidR="00ED15A0">
        <w:rPr>
          <w:noProof/>
        </w:rPr>
        <w:t>,</w:t>
      </w:r>
      <w:r w:rsidRPr="00D73DBB">
        <w:rPr>
          <w:noProof/>
        </w:rPr>
        <w:t xml:space="preserve"> a large number of respondents </w:t>
      </w:r>
      <w:r w:rsidR="006465FE" w:rsidRPr="00D73DBB">
        <w:rPr>
          <w:noProof/>
        </w:rPr>
        <w:t>consider</w:t>
      </w:r>
      <w:r w:rsidRPr="00D73DBB">
        <w:rPr>
          <w:noProof/>
        </w:rPr>
        <w:t xml:space="preserve"> that the practical relevance of the balancing test remains limited at this stage</w:t>
      </w:r>
      <w:r w:rsidDel="005865D2">
        <w:rPr>
          <w:noProof/>
        </w:rPr>
        <w:t>.</w:t>
      </w:r>
      <w:r w:rsidRPr="00750DE1">
        <w:rPr>
          <w:noProof/>
        </w:rPr>
        <w:t xml:space="preserve"> </w:t>
      </w:r>
      <w:r w:rsidR="00A86049">
        <w:rPr>
          <w:noProof/>
        </w:rPr>
        <w:t>In the public consultation, 23 s</w:t>
      </w:r>
      <w:r w:rsidRPr="00750DE1">
        <w:rPr>
          <w:noProof/>
        </w:rPr>
        <w:t xml:space="preserve">takeholders </w:t>
      </w:r>
      <w:r w:rsidR="00250CFF">
        <w:rPr>
          <w:noProof/>
        </w:rPr>
        <w:t xml:space="preserve">out of the 54 submissions </w:t>
      </w:r>
      <w:r w:rsidRPr="00750DE1">
        <w:rPr>
          <w:noProof/>
        </w:rPr>
        <w:t xml:space="preserve">report a lack of clarity </w:t>
      </w:r>
      <w:r w:rsidR="00EF55E6">
        <w:rPr>
          <w:noProof/>
        </w:rPr>
        <w:t>about</w:t>
      </w:r>
      <w:r w:rsidR="00EF55E6" w:rsidRPr="00750DE1">
        <w:rPr>
          <w:noProof/>
        </w:rPr>
        <w:t xml:space="preserve"> </w:t>
      </w:r>
      <w:r w:rsidRPr="00750DE1">
        <w:rPr>
          <w:noProof/>
        </w:rPr>
        <w:t>the types of positive effects that may be taken into account, the evidentiary standards applicable, and the methodology of weighing positive and negative effects. As a result, respondents indicate uncertainty as to when and how the balancing test can be meaningfully invoked in practice.</w:t>
      </w:r>
      <w:r w:rsidR="0038314D">
        <w:rPr>
          <w:noProof/>
        </w:rPr>
        <w:t xml:space="preserve"> </w:t>
      </w:r>
      <w:r w:rsidR="0038314D" w:rsidRPr="0038314D">
        <w:rPr>
          <w:noProof/>
        </w:rPr>
        <w:t>Similarly, the Practitioner</w:t>
      </w:r>
      <w:r w:rsidR="003B5D23">
        <w:rPr>
          <w:noProof/>
        </w:rPr>
        <w:t>s</w:t>
      </w:r>
      <w:r w:rsidR="0038314D">
        <w:rPr>
          <w:noProof/>
        </w:rPr>
        <w:t>’</w:t>
      </w:r>
      <w:r w:rsidR="0038314D" w:rsidRPr="0038314D">
        <w:rPr>
          <w:noProof/>
        </w:rPr>
        <w:t xml:space="preserve"> Survey identified concerns regarding the clarity and application of the balancing test, despite most respondents having limited practical experience with it, as their cases did not involve distortive subsidies</w:t>
      </w:r>
      <w:r w:rsidR="004162F5">
        <w:rPr>
          <w:noProof/>
        </w:rPr>
        <w:t>.</w:t>
      </w:r>
    </w:p>
    <w:p w14:paraId="3FAE96F6" w14:textId="77777777" w:rsidR="00017585" w:rsidRPr="00ED7C1D" w:rsidRDefault="00017585" w:rsidP="00017585">
      <w:pPr>
        <w:rPr>
          <w:noProof/>
        </w:rPr>
      </w:pPr>
      <w:r w:rsidRPr="00ED7C1D">
        <w:rPr>
          <w:noProof/>
        </w:rPr>
        <w:t>Overall, the stakeholders’ feedback highlights areas in which legal predictability could be improved, in particular as regards the practical application of certain substantive notions and the application of the analytical framework in individual cases.</w:t>
      </w:r>
    </w:p>
    <w:p w14:paraId="7E7AAC8D" w14:textId="4580359A" w:rsidR="004B06C5" w:rsidRDefault="00773D6E" w:rsidP="00807C9E">
      <w:pPr>
        <w:pStyle w:val="Heading4"/>
        <w:rPr>
          <w:noProof/>
          <w:lang w:val="en-IE"/>
        </w:rPr>
      </w:pPr>
      <w:bookmarkStart w:id="60" w:name="_Toc234227862"/>
      <w:r>
        <w:rPr>
          <w:noProof/>
          <w:lang w:val="en-IE"/>
        </w:rPr>
        <w:t xml:space="preserve">The </w:t>
      </w:r>
      <w:r w:rsidRPr="00807C9E">
        <w:rPr>
          <w:noProof/>
        </w:rPr>
        <w:t>Commission</w:t>
      </w:r>
      <w:r w:rsidR="00DD5653">
        <w:rPr>
          <w:noProof/>
        </w:rPr>
        <w:t xml:space="preserve"> services’</w:t>
      </w:r>
      <w:r>
        <w:rPr>
          <w:noProof/>
          <w:lang w:val="en-IE"/>
        </w:rPr>
        <w:t xml:space="preserve"> assessment</w:t>
      </w:r>
      <w:bookmarkEnd w:id="60"/>
      <w:r>
        <w:rPr>
          <w:noProof/>
          <w:lang w:val="en-IE"/>
        </w:rPr>
        <w:t xml:space="preserve"> </w:t>
      </w:r>
    </w:p>
    <w:p w14:paraId="2B5D2B13" w14:textId="480FB98F" w:rsidR="0061573F" w:rsidRDefault="009D36B6" w:rsidP="004A1922">
      <w:pPr>
        <w:rPr>
          <w:noProof/>
        </w:rPr>
      </w:pPr>
      <w:r>
        <w:rPr>
          <w:noProof/>
        </w:rPr>
        <w:t xml:space="preserve">With respect to the Stakeholders’ Consultation, </w:t>
      </w:r>
      <w:r w:rsidR="00BF6EAD">
        <w:rPr>
          <w:noProof/>
        </w:rPr>
        <w:t xml:space="preserve">stakeholders express their understanding of the </w:t>
      </w:r>
      <w:r w:rsidR="0061573F">
        <w:rPr>
          <w:noProof/>
        </w:rPr>
        <w:t xml:space="preserve">overall objective </w:t>
      </w:r>
      <w:r w:rsidR="00BF6EAD">
        <w:rPr>
          <w:noProof/>
        </w:rPr>
        <w:t>of the FSR and they acknowledge the</w:t>
      </w:r>
      <w:r w:rsidR="0061573F">
        <w:rPr>
          <w:noProof/>
        </w:rPr>
        <w:t xml:space="preserve"> relevance of the FSR</w:t>
      </w:r>
      <w:r w:rsidR="00F86E86">
        <w:rPr>
          <w:noProof/>
        </w:rPr>
        <w:t>.</w:t>
      </w:r>
      <w:r w:rsidR="0061573F">
        <w:rPr>
          <w:noProof/>
        </w:rPr>
        <w:t xml:space="preserve"> Stakeholder</w:t>
      </w:r>
      <w:r w:rsidR="00FC68B1">
        <w:rPr>
          <w:noProof/>
        </w:rPr>
        <w:t>s’</w:t>
      </w:r>
      <w:r w:rsidR="0061573F">
        <w:rPr>
          <w:noProof/>
        </w:rPr>
        <w:t xml:space="preserve"> feedback nonetheless highlights areas where legal </w:t>
      </w:r>
      <w:r w:rsidR="00C30143">
        <w:rPr>
          <w:noProof/>
        </w:rPr>
        <w:t>predictability could be improved</w:t>
      </w:r>
      <w:r w:rsidR="0061573F">
        <w:rPr>
          <w:noProof/>
        </w:rPr>
        <w:t xml:space="preserve">, in particular as regards the practical application of certain substantive notions and the </w:t>
      </w:r>
      <w:r w:rsidR="00F10FEA">
        <w:rPr>
          <w:noProof/>
        </w:rPr>
        <w:t xml:space="preserve">application </w:t>
      </w:r>
      <w:r w:rsidR="0061573F">
        <w:rPr>
          <w:noProof/>
        </w:rPr>
        <w:t>of the analytical framework in individual cases.</w:t>
      </w:r>
    </w:p>
    <w:p w14:paraId="304A50B2" w14:textId="4FE2DCB8" w:rsidR="0061573F" w:rsidRDefault="006B028A" w:rsidP="004A1922">
      <w:pPr>
        <w:rPr>
          <w:noProof/>
        </w:rPr>
      </w:pPr>
      <w:r>
        <w:rPr>
          <w:noProof/>
        </w:rPr>
        <w:t>Indeed, s</w:t>
      </w:r>
      <w:r w:rsidR="0061573F">
        <w:rPr>
          <w:noProof/>
        </w:rPr>
        <w:t>ome of the</w:t>
      </w:r>
      <w:r w:rsidR="00017585">
        <w:rPr>
          <w:noProof/>
        </w:rPr>
        <w:t xml:space="preserve"> </w:t>
      </w:r>
      <w:r w:rsidR="003D24A1">
        <w:rPr>
          <w:noProof/>
        </w:rPr>
        <w:t>reported</w:t>
      </w:r>
      <w:r w:rsidR="0061573F">
        <w:rPr>
          <w:noProof/>
        </w:rPr>
        <w:t xml:space="preserve"> uncertainties </w:t>
      </w:r>
      <w:r w:rsidR="00715E83">
        <w:rPr>
          <w:noProof/>
        </w:rPr>
        <w:t>are</w:t>
      </w:r>
      <w:r w:rsidR="0061573F">
        <w:rPr>
          <w:noProof/>
        </w:rPr>
        <w:t xml:space="preserve"> </w:t>
      </w:r>
      <w:r w:rsidR="001944CF">
        <w:rPr>
          <w:noProof/>
        </w:rPr>
        <w:t xml:space="preserve">expected to </w:t>
      </w:r>
      <w:r w:rsidR="0061573F">
        <w:rPr>
          <w:noProof/>
        </w:rPr>
        <w:t>diminish as decisional practice</w:t>
      </w:r>
      <w:r w:rsidR="00C30143">
        <w:rPr>
          <w:noProof/>
        </w:rPr>
        <w:t xml:space="preserve"> and potential related jurisprudence</w:t>
      </w:r>
      <w:r w:rsidR="0061573F">
        <w:rPr>
          <w:noProof/>
        </w:rPr>
        <w:t xml:space="preserve"> develop</w:t>
      </w:r>
      <w:r w:rsidR="00715E83">
        <w:rPr>
          <w:noProof/>
        </w:rPr>
        <w:t>s</w:t>
      </w:r>
      <w:r w:rsidR="00F86E86">
        <w:rPr>
          <w:noProof/>
        </w:rPr>
        <w:t>,</w:t>
      </w:r>
      <w:r w:rsidR="0061573F">
        <w:rPr>
          <w:noProof/>
        </w:rPr>
        <w:t xml:space="preserve"> and stakeholders gain </w:t>
      </w:r>
      <w:r w:rsidR="00FC68B1">
        <w:rPr>
          <w:noProof/>
        </w:rPr>
        <w:t xml:space="preserve">more </w:t>
      </w:r>
      <w:r w:rsidR="0061573F">
        <w:rPr>
          <w:noProof/>
        </w:rPr>
        <w:t>experience with the application of the Regulation</w:t>
      </w:r>
      <w:r w:rsidR="005139D3">
        <w:rPr>
          <w:noProof/>
        </w:rPr>
        <w:t xml:space="preserve">. </w:t>
      </w:r>
      <w:r w:rsidR="000C26DA">
        <w:rPr>
          <w:noProof/>
        </w:rPr>
        <w:t>In a similar vein, the efforts undertaken to publish information</w:t>
      </w:r>
      <w:r w:rsidR="00FC68B1">
        <w:rPr>
          <w:noProof/>
        </w:rPr>
        <w:t xml:space="preserve"> in a timely manner</w:t>
      </w:r>
      <w:r w:rsidR="000C26DA">
        <w:rPr>
          <w:noProof/>
        </w:rPr>
        <w:t xml:space="preserve"> on cases, including non-confidential versions of the </w:t>
      </w:r>
      <w:r w:rsidR="00155DD6">
        <w:rPr>
          <w:noProof/>
        </w:rPr>
        <w:t>Commission’s</w:t>
      </w:r>
      <w:r w:rsidR="000C26DA">
        <w:rPr>
          <w:noProof/>
        </w:rPr>
        <w:t xml:space="preserve"> final decisions</w:t>
      </w:r>
      <w:r w:rsidR="00FC68B1">
        <w:rPr>
          <w:noProof/>
        </w:rPr>
        <w:t>,</w:t>
      </w:r>
      <w:r w:rsidR="000C26DA">
        <w:rPr>
          <w:noProof/>
        </w:rPr>
        <w:t xml:space="preserve"> also </w:t>
      </w:r>
      <w:r w:rsidR="00223838">
        <w:rPr>
          <w:noProof/>
        </w:rPr>
        <w:t xml:space="preserve">contribute to a better </w:t>
      </w:r>
      <w:r w:rsidR="000C26DA">
        <w:rPr>
          <w:noProof/>
        </w:rPr>
        <w:t xml:space="preserve">understanding on how the substantive notions have been applied in practice in specific cases. </w:t>
      </w:r>
      <w:r w:rsidR="0061573F">
        <w:rPr>
          <w:noProof/>
        </w:rPr>
        <w:t xml:space="preserve">In parallel, further clarification through guidance </w:t>
      </w:r>
      <w:r w:rsidR="00223838">
        <w:rPr>
          <w:noProof/>
        </w:rPr>
        <w:t>(</w:t>
      </w:r>
      <w:r w:rsidR="00D701E9">
        <w:rPr>
          <w:noProof/>
        </w:rPr>
        <w:t xml:space="preserve">notably </w:t>
      </w:r>
      <w:r w:rsidR="00223838">
        <w:rPr>
          <w:noProof/>
        </w:rPr>
        <w:t>via the published Q&amp;As)</w:t>
      </w:r>
      <w:r w:rsidR="0061573F">
        <w:rPr>
          <w:noProof/>
        </w:rPr>
        <w:t xml:space="preserve"> and consistent administrative practice contribute to a </w:t>
      </w:r>
      <w:r w:rsidR="001944CF">
        <w:rPr>
          <w:noProof/>
        </w:rPr>
        <w:t>better stakeholder understanding</w:t>
      </w:r>
      <w:r w:rsidR="0061573F">
        <w:rPr>
          <w:noProof/>
        </w:rPr>
        <w:t xml:space="preserve"> of the key concepts.</w:t>
      </w:r>
      <w:r w:rsidR="00017585">
        <w:rPr>
          <w:noProof/>
        </w:rPr>
        <w:t xml:space="preserve"> </w:t>
      </w:r>
      <w:r w:rsidR="00017585" w:rsidRPr="00017585">
        <w:rPr>
          <w:noProof/>
        </w:rPr>
        <w:t xml:space="preserve">The Commission </w:t>
      </w:r>
      <w:r w:rsidR="00AB3599">
        <w:rPr>
          <w:noProof/>
        </w:rPr>
        <w:t xml:space="preserve">services </w:t>
      </w:r>
      <w:r w:rsidR="00017585" w:rsidRPr="00017585">
        <w:rPr>
          <w:noProof/>
        </w:rPr>
        <w:t xml:space="preserve">also frequently appear </w:t>
      </w:r>
      <w:r w:rsidR="00AB3599">
        <w:rPr>
          <w:noProof/>
        </w:rPr>
        <w:t>i</w:t>
      </w:r>
      <w:r w:rsidR="00017585" w:rsidRPr="00017585">
        <w:rPr>
          <w:noProof/>
        </w:rPr>
        <w:t xml:space="preserve">n conferences and engage with legal practitioners on various </w:t>
      </w:r>
      <w:r w:rsidR="009228A1">
        <w:rPr>
          <w:noProof/>
        </w:rPr>
        <w:t xml:space="preserve">FSR-related </w:t>
      </w:r>
      <w:r w:rsidR="00017585" w:rsidRPr="00017585">
        <w:rPr>
          <w:noProof/>
        </w:rPr>
        <w:t xml:space="preserve">issues, </w:t>
      </w:r>
      <w:r w:rsidR="003D24A1">
        <w:rPr>
          <w:noProof/>
        </w:rPr>
        <w:t>bringing</w:t>
      </w:r>
      <w:r w:rsidR="00017585" w:rsidRPr="00017585">
        <w:rPr>
          <w:noProof/>
        </w:rPr>
        <w:t xml:space="preserve"> </w:t>
      </w:r>
      <w:r w:rsidR="003D24A1">
        <w:rPr>
          <w:noProof/>
        </w:rPr>
        <w:t>further</w:t>
      </w:r>
      <w:r w:rsidR="00017585" w:rsidRPr="00017585">
        <w:rPr>
          <w:noProof/>
        </w:rPr>
        <w:t xml:space="preserve"> clarity </w:t>
      </w:r>
      <w:r w:rsidR="00017585">
        <w:rPr>
          <w:noProof/>
        </w:rPr>
        <w:t>o</w:t>
      </w:r>
      <w:r w:rsidR="003D24A1">
        <w:rPr>
          <w:noProof/>
        </w:rPr>
        <w:t>n</w:t>
      </w:r>
      <w:r w:rsidR="00017585">
        <w:rPr>
          <w:noProof/>
        </w:rPr>
        <w:t xml:space="preserve"> </w:t>
      </w:r>
      <w:r w:rsidR="00155DD6">
        <w:rPr>
          <w:noProof/>
        </w:rPr>
        <w:t xml:space="preserve">the Commission’s </w:t>
      </w:r>
      <w:r w:rsidR="00017585" w:rsidRPr="00017585">
        <w:rPr>
          <w:noProof/>
        </w:rPr>
        <w:t>practice</w:t>
      </w:r>
      <w:r w:rsidR="00017585">
        <w:rPr>
          <w:noProof/>
        </w:rPr>
        <w:t>.</w:t>
      </w:r>
    </w:p>
    <w:p w14:paraId="2E067982" w14:textId="0960035E" w:rsidR="0061573F" w:rsidRDefault="00FC18C0" w:rsidP="004A1922">
      <w:pPr>
        <w:rPr>
          <w:noProof/>
        </w:rPr>
      </w:pPr>
      <w:r>
        <w:rPr>
          <w:noProof/>
        </w:rPr>
        <w:t>B</w:t>
      </w:r>
      <w:r w:rsidR="00017585" w:rsidRPr="00ED7C1D">
        <w:rPr>
          <w:noProof/>
        </w:rPr>
        <w:t>ased on the obtained feedback, th</w:t>
      </w:r>
      <w:r w:rsidR="001926B4">
        <w:rPr>
          <w:noProof/>
        </w:rPr>
        <w:t>e</w:t>
      </w:r>
      <w:r w:rsidR="00017585" w:rsidRPr="00ED7C1D">
        <w:rPr>
          <w:noProof/>
        </w:rPr>
        <w:t xml:space="preserve"> Report already </w:t>
      </w:r>
      <w:r w:rsidR="00E250E9">
        <w:rPr>
          <w:noProof/>
        </w:rPr>
        <w:t>identifies</w:t>
      </w:r>
      <w:r w:rsidR="00E250E9" w:rsidRPr="00ED7C1D">
        <w:rPr>
          <w:noProof/>
        </w:rPr>
        <w:t xml:space="preserve"> </w:t>
      </w:r>
      <w:r w:rsidR="00017585">
        <w:rPr>
          <w:noProof/>
        </w:rPr>
        <w:t xml:space="preserve">certain </w:t>
      </w:r>
      <w:r w:rsidR="00E250E9">
        <w:rPr>
          <w:noProof/>
        </w:rPr>
        <w:t xml:space="preserve">areas </w:t>
      </w:r>
      <w:r w:rsidR="00017585">
        <w:rPr>
          <w:noProof/>
        </w:rPr>
        <w:t>for consideration</w:t>
      </w:r>
      <w:r w:rsidR="00017585" w:rsidRPr="00ED7C1D">
        <w:rPr>
          <w:noProof/>
        </w:rPr>
        <w:t xml:space="preserve">, which </w:t>
      </w:r>
      <w:r w:rsidR="00017585">
        <w:rPr>
          <w:noProof/>
        </w:rPr>
        <w:t>could</w:t>
      </w:r>
      <w:r w:rsidR="00017585" w:rsidRPr="00ED7C1D">
        <w:rPr>
          <w:noProof/>
        </w:rPr>
        <w:t xml:space="preserve"> </w:t>
      </w:r>
      <w:r w:rsidR="00E250E9">
        <w:rPr>
          <w:noProof/>
        </w:rPr>
        <w:t xml:space="preserve">be </w:t>
      </w:r>
      <w:r w:rsidR="0052529E">
        <w:rPr>
          <w:noProof/>
        </w:rPr>
        <w:t>streamline</w:t>
      </w:r>
      <w:r w:rsidR="00E250E9">
        <w:rPr>
          <w:noProof/>
        </w:rPr>
        <w:t>d</w:t>
      </w:r>
      <w:r w:rsidR="0052529E">
        <w:rPr>
          <w:noProof/>
        </w:rPr>
        <w:t xml:space="preserve"> </w:t>
      </w:r>
      <w:r w:rsidR="00017585" w:rsidRPr="00ED7C1D">
        <w:rPr>
          <w:noProof/>
        </w:rPr>
        <w:t xml:space="preserve">and </w:t>
      </w:r>
      <w:r w:rsidR="00E250E9">
        <w:rPr>
          <w:noProof/>
        </w:rPr>
        <w:t xml:space="preserve">lead to </w:t>
      </w:r>
      <w:r w:rsidR="00017585" w:rsidRPr="00ED7C1D">
        <w:rPr>
          <w:noProof/>
        </w:rPr>
        <w:t xml:space="preserve">lower the administrative burden </w:t>
      </w:r>
      <w:r w:rsidR="0052529E">
        <w:rPr>
          <w:noProof/>
        </w:rPr>
        <w:t>on</w:t>
      </w:r>
      <w:r w:rsidR="00017585" w:rsidRPr="00ED7C1D">
        <w:rPr>
          <w:noProof/>
        </w:rPr>
        <w:t xml:space="preserve"> businesses, while preserving the objectives of the Regulation.</w:t>
      </w:r>
      <w:r w:rsidR="00017585">
        <w:rPr>
          <w:noProof/>
        </w:rPr>
        <w:t xml:space="preserve"> </w:t>
      </w:r>
      <w:r w:rsidR="0061573F" w:rsidRPr="0061573F">
        <w:rPr>
          <w:noProof/>
        </w:rPr>
        <w:t xml:space="preserve">These issues are examined further in </w:t>
      </w:r>
      <w:r w:rsidR="00D73DBB">
        <w:rPr>
          <w:noProof/>
        </w:rPr>
        <w:t>S</w:t>
      </w:r>
      <w:r w:rsidR="0061573F" w:rsidRPr="0061573F">
        <w:rPr>
          <w:noProof/>
        </w:rPr>
        <w:t>ection</w:t>
      </w:r>
      <w:r w:rsidR="00626E71">
        <w:rPr>
          <w:noProof/>
        </w:rPr>
        <w:t xml:space="preserve"> </w:t>
      </w:r>
      <w:r w:rsidR="00626E71">
        <w:rPr>
          <w:noProof/>
        </w:rPr>
        <w:fldChar w:fldCharType="begin"/>
      </w:r>
      <w:r w:rsidR="00626E71">
        <w:rPr>
          <w:noProof/>
        </w:rPr>
        <w:instrText xml:space="preserve"> REF _Ref229988337 \r \h </w:instrText>
      </w:r>
      <w:r w:rsidR="00626E71">
        <w:rPr>
          <w:noProof/>
        </w:rPr>
      </w:r>
      <w:r w:rsidR="00626E71">
        <w:rPr>
          <w:noProof/>
        </w:rPr>
        <w:fldChar w:fldCharType="separate"/>
      </w:r>
      <w:r w:rsidR="00227418">
        <w:rPr>
          <w:noProof/>
        </w:rPr>
        <w:t>6</w:t>
      </w:r>
      <w:r w:rsidR="00626E71">
        <w:rPr>
          <w:noProof/>
        </w:rPr>
        <w:fldChar w:fldCharType="end"/>
      </w:r>
      <w:r w:rsidR="0061573F" w:rsidRPr="0061573F">
        <w:rPr>
          <w:noProof/>
        </w:rPr>
        <w:t xml:space="preserve"> below, </w:t>
      </w:r>
      <w:r w:rsidR="00C30E8F">
        <w:rPr>
          <w:noProof/>
        </w:rPr>
        <w:t>notably</w:t>
      </w:r>
      <w:r w:rsidR="0061573F" w:rsidRPr="0061573F">
        <w:rPr>
          <w:noProof/>
        </w:rPr>
        <w:t xml:space="preserve"> in relation to the functioning of the notification system</w:t>
      </w:r>
      <w:r w:rsidR="0061573F">
        <w:rPr>
          <w:noProof/>
        </w:rPr>
        <w:t>s</w:t>
      </w:r>
      <w:r w:rsidR="0061573F" w:rsidRPr="0061573F">
        <w:rPr>
          <w:noProof/>
        </w:rPr>
        <w:t xml:space="preserve"> for concentrations</w:t>
      </w:r>
      <w:r w:rsidR="0061573F">
        <w:rPr>
          <w:noProof/>
        </w:rPr>
        <w:t xml:space="preserve"> and public procurement procedures</w:t>
      </w:r>
      <w:r w:rsidR="0061573F" w:rsidRPr="0061573F">
        <w:rPr>
          <w:noProof/>
        </w:rPr>
        <w:t>.</w:t>
      </w:r>
    </w:p>
    <w:p w14:paraId="1A11A214" w14:textId="639B7162" w:rsidR="004B06C5" w:rsidRDefault="004B06C5" w:rsidP="005A5C27">
      <w:pPr>
        <w:pStyle w:val="Heading3"/>
        <w:ind w:left="851" w:hanging="851"/>
        <w:rPr>
          <w:noProof/>
          <w:lang w:val="en-IE"/>
        </w:rPr>
      </w:pPr>
      <w:bookmarkStart w:id="61" w:name="_Toc234227863"/>
      <w:r>
        <w:rPr>
          <w:noProof/>
          <w:lang w:val="en-IE"/>
        </w:rPr>
        <w:t>Ex officio investigations</w:t>
      </w:r>
      <w:bookmarkEnd w:id="61"/>
    </w:p>
    <w:p w14:paraId="516BB908" w14:textId="470C77A6" w:rsidR="004B06C5" w:rsidRDefault="00271974" w:rsidP="00807C9E">
      <w:pPr>
        <w:pStyle w:val="Heading4"/>
        <w:rPr>
          <w:noProof/>
          <w:lang w:val="en-IE"/>
        </w:rPr>
      </w:pPr>
      <w:bookmarkStart w:id="62" w:name="_Ref227151741"/>
      <w:bookmarkStart w:id="63" w:name="_Toc234227864"/>
      <w:r w:rsidRPr="00807C9E">
        <w:rPr>
          <w:noProof/>
        </w:rPr>
        <w:t>Information</w:t>
      </w:r>
      <w:r>
        <w:rPr>
          <w:noProof/>
          <w:lang w:val="en-IE"/>
        </w:rPr>
        <w:t xml:space="preserve"> on cases</w:t>
      </w:r>
      <w:bookmarkEnd w:id="62"/>
      <w:bookmarkEnd w:id="63"/>
    </w:p>
    <w:p w14:paraId="0DEDCD3A" w14:textId="55EB069B" w:rsidR="002E0EA9" w:rsidRDefault="002E0EA9" w:rsidP="002E0EA9">
      <w:pPr>
        <w:rPr>
          <w:noProof/>
        </w:rPr>
      </w:pPr>
      <w:r w:rsidRPr="00A16B12">
        <w:rPr>
          <w:noProof/>
        </w:rPr>
        <w:t xml:space="preserve">The Commission continuously assesses whether there is sufficient evidence to merit the launch of new ex officio investigations, based on its own analysis, information received </w:t>
      </w:r>
      <w:r w:rsidR="005168D3">
        <w:rPr>
          <w:noProof/>
        </w:rPr>
        <w:t>from</w:t>
      </w:r>
      <w:r w:rsidRPr="00A16B12">
        <w:rPr>
          <w:noProof/>
        </w:rPr>
        <w:t xml:space="preserve"> stakeholders and investigations of market information, as applicable.</w:t>
      </w:r>
    </w:p>
    <w:p w14:paraId="60508C54" w14:textId="6A7B39B8" w:rsidR="00271974" w:rsidRDefault="00271974" w:rsidP="004A1922">
      <w:pPr>
        <w:rPr>
          <w:noProof/>
          <w:lang w:val="en-IE"/>
        </w:rPr>
      </w:pPr>
      <w:r>
        <w:rPr>
          <w:noProof/>
          <w:lang w:val="en-IE"/>
        </w:rPr>
        <w:t xml:space="preserve">In </w:t>
      </w:r>
      <w:r w:rsidR="00AC49E2">
        <w:rPr>
          <w:noProof/>
          <w:lang w:val="en-IE"/>
        </w:rPr>
        <w:t>two</w:t>
      </w:r>
      <w:r>
        <w:rPr>
          <w:noProof/>
          <w:lang w:val="en-IE"/>
        </w:rPr>
        <w:t xml:space="preserve"> cases, the Commission has opened in-depth investigations</w:t>
      </w:r>
      <w:r w:rsidR="00155DD6">
        <w:rPr>
          <w:noProof/>
          <w:lang w:val="en-IE"/>
        </w:rPr>
        <w:t>.</w:t>
      </w:r>
      <w:r w:rsidR="001834D1">
        <w:rPr>
          <w:noProof/>
          <w:lang w:val="en-IE"/>
        </w:rPr>
        <w:t xml:space="preserve"> </w:t>
      </w:r>
    </w:p>
    <w:p w14:paraId="2CE29E41" w14:textId="089214F0" w:rsidR="00627236" w:rsidRDefault="00627236" w:rsidP="004A1922">
      <w:pPr>
        <w:rPr>
          <w:noProof/>
          <w:lang w:val="en-IE"/>
        </w:rPr>
      </w:pPr>
      <w:r>
        <w:rPr>
          <w:noProof/>
        </w:rPr>
        <w:t xml:space="preserve">During </w:t>
      </w:r>
      <w:r w:rsidRPr="00ED7C1D">
        <w:rPr>
          <w:noProof/>
        </w:rPr>
        <w:t>its in-depth investigation</w:t>
      </w:r>
      <w:r>
        <w:rPr>
          <w:noProof/>
        </w:rPr>
        <w:t>s</w:t>
      </w:r>
      <w:r w:rsidRPr="00ED7C1D">
        <w:rPr>
          <w:noProof/>
        </w:rPr>
        <w:t>, the Commission assess</w:t>
      </w:r>
      <w:r w:rsidR="000040ED">
        <w:rPr>
          <w:noProof/>
        </w:rPr>
        <w:t>es</w:t>
      </w:r>
      <w:r w:rsidRPr="00ED7C1D">
        <w:rPr>
          <w:noProof/>
        </w:rPr>
        <w:t xml:space="preserve"> whether the preliminary findings are confirmed. The opening of an in-depth investigation does not prejudge the outcome of the investigation</w:t>
      </w:r>
      <w:r>
        <w:rPr>
          <w:noProof/>
        </w:rPr>
        <w:t xml:space="preserve">. In accordance with </w:t>
      </w:r>
      <w:r w:rsidR="00155DD6">
        <w:rPr>
          <w:noProof/>
        </w:rPr>
        <w:t>Article </w:t>
      </w:r>
      <w:r>
        <w:rPr>
          <w:noProof/>
        </w:rPr>
        <w:t xml:space="preserve">11 FSR, </w:t>
      </w:r>
      <w:r w:rsidRPr="00ED7C1D">
        <w:rPr>
          <w:noProof/>
        </w:rPr>
        <w:t>at the end of its in-depth investigation</w:t>
      </w:r>
      <w:r w:rsidR="00931BBE">
        <w:rPr>
          <w:noProof/>
        </w:rPr>
        <w:t>,</w:t>
      </w:r>
      <w:r w:rsidRPr="00ED7C1D">
        <w:rPr>
          <w:noProof/>
        </w:rPr>
        <w:t xml:space="preserve"> the Commission may (i</w:t>
      </w:r>
      <w:r w:rsidR="00155DD6" w:rsidRPr="00ED7C1D">
        <w:rPr>
          <w:noProof/>
        </w:rPr>
        <w:t>)</w:t>
      </w:r>
      <w:r w:rsidR="00155DD6">
        <w:rPr>
          <w:noProof/>
        </w:rPr>
        <w:t> </w:t>
      </w:r>
      <w:r w:rsidRPr="00ED7C1D">
        <w:rPr>
          <w:noProof/>
        </w:rPr>
        <w:t xml:space="preserve">accept commitments proposed by the </w:t>
      </w:r>
      <w:r>
        <w:rPr>
          <w:noProof/>
        </w:rPr>
        <w:t>undertaking under investigation</w:t>
      </w:r>
      <w:r w:rsidRPr="00ED7C1D">
        <w:rPr>
          <w:noProof/>
        </w:rPr>
        <w:t xml:space="preserve"> if they fully and effectively remedy the distortion, (ii</w:t>
      </w:r>
      <w:r w:rsidR="00155DD6" w:rsidRPr="00ED7C1D">
        <w:rPr>
          <w:noProof/>
        </w:rPr>
        <w:t>)</w:t>
      </w:r>
      <w:r w:rsidR="00155DD6">
        <w:rPr>
          <w:noProof/>
        </w:rPr>
        <w:t> </w:t>
      </w:r>
      <w:r w:rsidRPr="00ED7C1D">
        <w:rPr>
          <w:noProof/>
        </w:rPr>
        <w:t>impose redressive measures, or (iii</w:t>
      </w:r>
      <w:r w:rsidR="00155DD6" w:rsidRPr="00ED7C1D">
        <w:rPr>
          <w:noProof/>
        </w:rPr>
        <w:t>)</w:t>
      </w:r>
      <w:r w:rsidR="00155DD6">
        <w:rPr>
          <w:noProof/>
        </w:rPr>
        <w:t> </w:t>
      </w:r>
      <w:r w:rsidRPr="00ED7C1D">
        <w:rPr>
          <w:noProof/>
        </w:rPr>
        <w:t>issue a no objection decision</w:t>
      </w:r>
      <w:r w:rsidR="00455CCF">
        <w:rPr>
          <w:noProof/>
        </w:rPr>
        <w:t>.</w:t>
      </w:r>
    </w:p>
    <w:p w14:paraId="3618C31F" w14:textId="4B5DFED2" w:rsidR="00271974" w:rsidRPr="00807C9E" w:rsidRDefault="00271974" w:rsidP="006041B3">
      <w:pPr>
        <w:pStyle w:val="ContNumLevel2"/>
        <w:keepNext/>
        <w:numPr>
          <w:ilvl w:val="1"/>
          <w:numId w:val="158"/>
        </w:numPr>
        <w:rPr>
          <w:noProof/>
          <w:lang w:val="en-IE"/>
        </w:rPr>
      </w:pPr>
      <w:bookmarkStart w:id="64" w:name="_Ref227151708"/>
      <w:r w:rsidRPr="00807C9E">
        <w:rPr>
          <w:noProof/>
          <w:lang w:val="en-IE"/>
        </w:rPr>
        <w:t>Case FS.100068 - NUCTECH</w:t>
      </w:r>
      <w:bookmarkEnd w:id="64"/>
    </w:p>
    <w:p w14:paraId="769FF8A3" w14:textId="35773691" w:rsidR="006D4FC3" w:rsidRPr="00750DE1" w:rsidRDefault="006D4FC3" w:rsidP="004A1922">
      <w:pPr>
        <w:rPr>
          <w:noProof/>
        </w:rPr>
      </w:pPr>
      <w:r w:rsidRPr="00750DE1">
        <w:rPr>
          <w:noProof/>
        </w:rPr>
        <w:t xml:space="preserve">In </w:t>
      </w:r>
      <w:r w:rsidRPr="00D73DBB">
        <w:rPr>
          <w:noProof/>
        </w:rPr>
        <w:t>the</w:t>
      </w:r>
      <w:r w:rsidR="001418A3" w:rsidRPr="00D73DBB">
        <w:rPr>
          <w:noProof/>
        </w:rPr>
        <w:t xml:space="preserve"> </w:t>
      </w:r>
      <w:r w:rsidR="001418A3" w:rsidRPr="00A47B29">
        <w:rPr>
          <w:b/>
          <w:noProof/>
        </w:rPr>
        <w:t>Nuctech</w:t>
      </w:r>
      <w:r w:rsidR="001418A3" w:rsidRPr="00D73DBB">
        <w:rPr>
          <w:noProof/>
        </w:rPr>
        <w:t xml:space="preserve"> case</w:t>
      </w:r>
      <w:r w:rsidRPr="00D73DBB">
        <w:rPr>
          <w:noProof/>
        </w:rPr>
        <w:t xml:space="preserve">, the </w:t>
      </w:r>
      <w:r w:rsidRPr="006D4FC3">
        <w:rPr>
          <w:noProof/>
        </w:rPr>
        <w:t>Commission opened</w:t>
      </w:r>
      <w:r w:rsidRPr="00D73DBB">
        <w:rPr>
          <w:noProof/>
        </w:rPr>
        <w:t xml:space="preserve"> an in-depth investigation on </w:t>
      </w:r>
      <w:r w:rsidR="00155DD6" w:rsidRPr="00D73DBB">
        <w:rPr>
          <w:noProof/>
        </w:rPr>
        <w:t>11</w:t>
      </w:r>
      <w:r w:rsidR="00155DD6">
        <w:rPr>
          <w:noProof/>
        </w:rPr>
        <w:t> </w:t>
      </w:r>
      <w:r w:rsidRPr="00D73DBB">
        <w:rPr>
          <w:noProof/>
        </w:rPr>
        <w:t>December 2025 to assess the activities of Nuctech in the production and sale of threat detection systems and the provision of related services within the EU</w:t>
      </w:r>
      <w:r w:rsidR="00E56A3A" w:rsidRPr="00E56A3A">
        <w:rPr>
          <w:noProof/>
        </w:rPr>
        <w:t> (</w:t>
      </w:r>
      <w:r w:rsidR="00E56A3A">
        <w:rPr>
          <w:rStyle w:val="FootnoteReference"/>
          <w:noProof/>
        </w:rPr>
        <w:footnoteReference w:id="40"/>
      </w:r>
      <w:r w:rsidR="00E56A3A">
        <w:rPr>
          <w:noProof/>
        </w:rPr>
        <w:t>)</w:t>
      </w:r>
      <w:r w:rsidR="00312859">
        <w:rPr>
          <w:noProof/>
        </w:rPr>
        <w:t>.</w:t>
      </w:r>
    </w:p>
    <w:p w14:paraId="0D458B51" w14:textId="3975312B" w:rsidR="001418A3" w:rsidRPr="00750DE1" w:rsidRDefault="00271974" w:rsidP="004A1922">
      <w:pPr>
        <w:rPr>
          <w:noProof/>
        </w:rPr>
      </w:pPr>
      <w:r>
        <w:rPr>
          <w:noProof/>
        </w:rPr>
        <w:t xml:space="preserve">The case was initiated in April 2024 by </w:t>
      </w:r>
      <w:r w:rsidR="001418A3" w:rsidRPr="001418A3" w:rsidDel="00271974">
        <w:rPr>
          <w:noProof/>
        </w:rPr>
        <w:t>conducting</w:t>
      </w:r>
      <w:r w:rsidR="001418A3" w:rsidRPr="001418A3">
        <w:rPr>
          <w:noProof/>
        </w:rPr>
        <w:t xml:space="preserve"> on-site inspections </w:t>
      </w:r>
      <w:r>
        <w:rPr>
          <w:noProof/>
        </w:rPr>
        <w:t>in the EU premises of Nuctech in Poland and the Netherlands</w:t>
      </w:r>
      <w:r w:rsidR="00A17D17">
        <w:rPr>
          <w:noProof/>
        </w:rPr>
        <w:t xml:space="preserve"> following the adoption of a </w:t>
      </w:r>
      <w:r w:rsidR="00A17D17" w:rsidRPr="00A17D17">
        <w:rPr>
          <w:noProof/>
        </w:rPr>
        <w:t>decision requiring Nuctech to submit to inspections pursuant to Article</w:t>
      </w:r>
      <w:r w:rsidR="00155DD6">
        <w:rPr>
          <w:noProof/>
        </w:rPr>
        <w:t> </w:t>
      </w:r>
      <w:r w:rsidR="00A17D17" w:rsidRPr="00A17D17">
        <w:rPr>
          <w:noProof/>
        </w:rPr>
        <w:t xml:space="preserve">14(3) FSR (the </w:t>
      </w:r>
      <w:r w:rsidR="001238DC">
        <w:rPr>
          <w:noProof/>
        </w:rPr>
        <w:t>‘</w:t>
      </w:r>
      <w:r w:rsidR="00A17D17" w:rsidRPr="00A17D17">
        <w:rPr>
          <w:noProof/>
        </w:rPr>
        <w:t>Inspection Decision</w:t>
      </w:r>
      <w:r w:rsidR="001238DC">
        <w:rPr>
          <w:noProof/>
        </w:rPr>
        <w:t>’</w:t>
      </w:r>
      <w:r w:rsidR="00A17D17" w:rsidRPr="00A17D17">
        <w:rPr>
          <w:noProof/>
        </w:rPr>
        <w:t>)</w:t>
      </w:r>
      <w:r>
        <w:rPr>
          <w:noProof/>
        </w:rPr>
        <w:t xml:space="preserve">. </w:t>
      </w:r>
      <w:r w:rsidR="003B30D6">
        <w:rPr>
          <w:noProof/>
        </w:rPr>
        <w:t xml:space="preserve">Following </w:t>
      </w:r>
      <w:r w:rsidR="00A17067">
        <w:rPr>
          <w:noProof/>
        </w:rPr>
        <w:t>the</w:t>
      </w:r>
      <w:r w:rsidR="003B30D6">
        <w:rPr>
          <w:noProof/>
        </w:rPr>
        <w:t xml:space="preserve"> assessment of the collected information during the </w:t>
      </w:r>
      <w:r w:rsidR="00BD2B4B">
        <w:rPr>
          <w:noProof/>
        </w:rPr>
        <w:t>p</w:t>
      </w:r>
      <w:r w:rsidR="003B30D6">
        <w:rPr>
          <w:noProof/>
        </w:rPr>
        <w:t xml:space="preserve">reliminary </w:t>
      </w:r>
      <w:r w:rsidR="00BD2B4B">
        <w:rPr>
          <w:noProof/>
        </w:rPr>
        <w:t>r</w:t>
      </w:r>
      <w:r w:rsidR="003B30D6">
        <w:rPr>
          <w:noProof/>
        </w:rPr>
        <w:t xml:space="preserve">eview phase of the investigation, </w:t>
      </w:r>
      <w:r w:rsidR="006D4FC3">
        <w:rPr>
          <w:noProof/>
        </w:rPr>
        <w:t xml:space="preserve">the Commission </w:t>
      </w:r>
      <w:r w:rsidR="001418A3" w:rsidRPr="001418A3">
        <w:rPr>
          <w:noProof/>
        </w:rPr>
        <w:t xml:space="preserve">found sufficient indications </w:t>
      </w:r>
      <w:r w:rsidR="00FC68B1">
        <w:rPr>
          <w:noProof/>
        </w:rPr>
        <w:t xml:space="preserve">that </w:t>
      </w:r>
      <w:r w:rsidR="003B30D6">
        <w:rPr>
          <w:noProof/>
        </w:rPr>
        <w:t>Nuctech</w:t>
      </w:r>
      <w:r w:rsidR="001418A3" w:rsidRPr="001418A3">
        <w:rPr>
          <w:noProof/>
        </w:rPr>
        <w:t xml:space="preserve"> </w:t>
      </w:r>
      <w:r w:rsidR="00A17067" w:rsidRPr="00A17067">
        <w:rPr>
          <w:noProof/>
        </w:rPr>
        <w:t>may have been granted foreign subsidies</w:t>
      </w:r>
      <w:r w:rsidR="00A17067">
        <w:rPr>
          <w:noProof/>
        </w:rPr>
        <w:t xml:space="preserve"> </w:t>
      </w:r>
      <w:r w:rsidR="00A17067" w:rsidRPr="001418A3">
        <w:rPr>
          <w:noProof/>
        </w:rPr>
        <w:t>from China</w:t>
      </w:r>
      <w:r w:rsidR="00A17067">
        <w:rPr>
          <w:noProof/>
        </w:rPr>
        <w:t xml:space="preserve"> </w:t>
      </w:r>
      <w:r w:rsidR="00A17067" w:rsidRPr="001418A3">
        <w:rPr>
          <w:noProof/>
        </w:rPr>
        <w:t>supporting the EU activities of the company (</w:t>
      </w:r>
      <w:r w:rsidR="00A17067">
        <w:rPr>
          <w:noProof/>
        </w:rPr>
        <w:t xml:space="preserve">such as </w:t>
      </w:r>
      <w:r w:rsidR="00A17067" w:rsidRPr="001418A3">
        <w:rPr>
          <w:noProof/>
        </w:rPr>
        <w:t>grants, loans,</w:t>
      </w:r>
      <w:r w:rsidR="00A17067">
        <w:rPr>
          <w:noProof/>
        </w:rPr>
        <w:t xml:space="preserve"> and</w:t>
      </w:r>
      <w:r w:rsidR="00A17067" w:rsidRPr="001418A3">
        <w:rPr>
          <w:noProof/>
        </w:rPr>
        <w:t xml:space="preserve"> tax measures)</w:t>
      </w:r>
      <w:r w:rsidR="00A17067" w:rsidRPr="00A17067">
        <w:rPr>
          <w:noProof/>
        </w:rPr>
        <w:t xml:space="preserve"> that could distort the EU internal market</w:t>
      </w:r>
      <w:r w:rsidR="00A17067">
        <w:rPr>
          <w:noProof/>
        </w:rPr>
        <w:t>.</w:t>
      </w:r>
      <w:r w:rsidR="00A17067" w:rsidRPr="00A17067">
        <w:rPr>
          <w:noProof/>
        </w:rPr>
        <w:t xml:space="preserve"> </w:t>
      </w:r>
      <w:r w:rsidR="003B30D6">
        <w:rPr>
          <w:noProof/>
        </w:rPr>
        <w:t>As regards distortion, t</w:t>
      </w:r>
      <w:r w:rsidR="001418A3" w:rsidRPr="00750DE1">
        <w:rPr>
          <w:noProof/>
        </w:rPr>
        <w:t>he Commission</w:t>
      </w:r>
      <w:r w:rsidR="001418A3" w:rsidRPr="00750DE1" w:rsidDel="003B30D6">
        <w:rPr>
          <w:noProof/>
        </w:rPr>
        <w:t xml:space="preserve"> </w:t>
      </w:r>
      <w:r w:rsidR="001418A3" w:rsidRPr="00750DE1">
        <w:rPr>
          <w:noProof/>
        </w:rPr>
        <w:t xml:space="preserve">also found indications that </w:t>
      </w:r>
      <w:r w:rsidR="00A17067">
        <w:rPr>
          <w:noProof/>
        </w:rPr>
        <w:t xml:space="preserve">the possible foreign subsidies may improve </w:t>
      </w:r>
      <w:r w:rsidR="001418A3" w:rsidRPr="00750DE1">
        <w:rPr>
          <w:noProof/>
        </w:rPr>
        <w:t xml:space="preserve">Nuctech’s competitive position </w:t>
      </w:r>
      <w:r w:rsidR="00A17067">
        <w:rPr>
          <w:noProof/>
        </w:rPr>
        <w:t>in the internal market and may</w:t>
      </w:r>
      <w:r w:rsidR="001418A3" w:rsidRPr="00750DE1">
        <w:rPr>
          <w:noProof/>
        </w:rPr>
        <w:t xml:space="preserve"> negatively affect competition by allowing Nuctech to offer customers lower prices or better commercial conditions than competitors.</w:t>
      </w:r>
      <w:r w:rsidR="00A17D17">
        <w:rPr>
          <w:noProof/>
        </w:rPr>
        <w:t xml:space="preserve"> </w:t>
      </w:r>
    </w:p>
    <w:p w14:paraId="7CF4D55C" w14:textId="76E24814" w:rsidR="003B30D6" w:rsidRDefault="003B30D6" w:rsidP="006041B3">
      <w:pPr>
        <w:pStyle w:val="ContNumLevel2"/>
        <w:keepNext/>
        <w:numPr>
          <w:ilvl w:val="1"/>
          <w:numId w:val="158"/>
        </w:numPr>
        <w:rPr>
          <w:noProof/>
        </w:rPr>
      </w:pPr>
      <w:bookmarkStart w:id="65" w:name="_Ref227151711"/>
      <w:r>
        <w:rPr>
          <w:noProof/>
        </w:rPr>
        <w:t>Case FS. 100143 - GOLDWIND</w:t>
      </w:r>
      <w:bookmarkEnd w:id="65"/>
    </w:p>
    <w:p w14:paraId="3FB45800" w14:textId="7CAD387B" w:rsidR="006D4FC3" w:rsidRDefault="006D4FC3" w:rsidP="004A1922">
      <w:pPr>
        <w:rPr>
          <w:noProof/>
        </w:rPr>
      </w:pPr>
      <w:r>
        <w:rPr>
          <w:noProof/>
        </w:rPr>
        <w:t xml:space="preserve">In the </w:t>
      </w:r>
      <w:r w:rsidRPr="00A47B29">
        <w:rPr>
          <w:b/>
          <w:noProof/>
        </w:rPr>
        <w:t>Goldwind</w:t>
      </w:r>
      <w:r>
        <w:rPr>
          <w:noProof/>
        </w:rPr>
        <w:t xml:space="preserve"> case</w:t>
      </w:r>
      <w:r w:rsidDel="00B82EBB">
        <w:rPr>
          <w:noProof/>
        </w:rPr>
        <w:t>, t</w:t>
      </w:r>
      <w:r>
        <w:rPr>
          <w:noProof/>
        </w:rPr>
        <w:t xml:space="preserve">he </w:t>
      </w:r>
      <w:r w:rsidRPr="006D4FC3">
        <w:rPr>
          <w:noProof/>
        </w:rPr>
        <w:t xml:space="preserve">Commission opened an in-depth investigation </w:t>
      </w:r>
      <w:r>
        <w:rPr>
          <w:noProof/>
        </w:rPr>
        <w:t xml:space="preserve">on </w:t>
      </w:r>
      <w:r w:rsidR="00200F17" w:rsidRPr="006D4FC3">
        <w:rPr>
          <w:noProof/>
        </w:rPr>
        <w:t>3</w:t>
      </w:r>
      <w:r w:rsidR="00200F17">
        <w:rPr>
          <w:noProof/>
        </w:rPr>
        <w:t> </w:t>
      </w:r>
      <w:r w:rsidRPr="006D4FC3">
        <w:rPr>
          <w:noProof/>
        </w:rPr>
        <w:t>February 2026 to assess</w:t>
      </w:r>
      <w:r>
        <w:rPr>
          <w:noProof/>
        </w:rPr>
        <w:t xml:space="preserve"> </w:t>
      </w:r>
      <w:r w:rsidRPr="006D4FC3">
        <w:rPr>
          <w:noProof/>
        </w:rPr>
        <w:t>the activities of Goldwind Science &amp; Technology Co., Ltd. (</w:t>
      </w:r>
      <w:r w:rsidR="0050686F">
        <w:rPr>
          <w:noProof/>
        </w:rPr>
        <w:t>‘</w:t>
      </w:r>
      <w:r w:rsidRPr="006D4FC3">
        <w:rPr>
          <w:noProof/>
        </w:rPr>
        <w:t>Goldwind</w:t>
      </w:r>
      <w:r w:rsidR="0050686F">
        <w:rPr>
          <w:noProof/>
        </w:rPr>
        <w:t>’</w:t>
      </w:r>
      <w:r w:rsidRPr="006D4FC3">
        <w:rPr>
          <w:noProof/>
        </w:rPr>
        <w:t>) in the production and sale of wind turbines and the provision of related services within the EU</w:t>
      </w:r>
      <w:r w:rsidR="00EA7ECD" w:rsidRPr="00EA7ECD">
        <w:rPr>
          <w:noProof/>
        </w:rPr>
        <w:t> (</w:t>
      </w:r>
      <w:r w:rsidR="00EA7ECD">
        <w:rPr>
          <w:rStyle w:val="FootnoteReference"/>
          <w:noProof/>
        </w:rPr>
        <w:footnoteReference w:id="41"/>
      </w:r>
      <w:r w:rsidR="00EA7ECD">
        <w:rPr>
          <w:noProof/>
        </w:rPr>
        <w:t>)</w:t>
      </w:r>
      <w:r w:rsidR="00312859">
        <w:rPr>
          <w:noProof/>
        </w:rPr>
        <w:t>.</w:t>
      </w:r>
      <w:r w:rsidR="00B82EBB">
        <w:rPr>
          <w:noProof/>
        </w:rPr>
        <w:t xml:space="preserve"> The case was initiated ex officio </w:t>
      </w:r>
      <w:r w:rsidR="00B82EBB" w:rsidRPr="00B82EBB">
        <w:rPr>
          <w:noProof/>
        </w:rPr>
        <w:t>by the sending of request</w:t>
      </w:r>
      <w:r w:rsidR="002E0EA9">
        <w:rPr>
          <w:noProof/>
        </w:rPr>
        <w:t>s</w:t>
      </w:r>
      <w:r w:rsidR="00B82EBB" w:rsidRPr="00B82EBB">
        <w:rPr>
          <w:noProof/>
        </w:rPr>
        <w:t xml:space="preserve"> for information in April 202</w:t>
      </w:r>
      <w:r w:rsidR="00B82EBB">
        <w:rPr>
          <w:noProof/>
        </w:rPr>
        <w:t>4.</w:t>
      </w:r>
    </w:p>
    <w:p w14:paraId="5415E462" w14:textId="24FB8824" w:rsidR="006D4FC3" w:rsidRPr="00750DE1" w:rsidRDefault="006D4FC3" w:rsidP="004A1922">
      <w:pPr>
        <w:rPr>
          <w:noProof/>
        </w:rPr>
      </w:pPr>
      <w:r>
        <w:rPr>
          <w:noProof/>
        </w:rPr>
        <w:t>T</w:t>
      </w:r>
      <w:r w:rsidRPr="006D4FC3">
        <w:rPr>
          <w:noProof/>
        </w:rPr>
        <w:t>he Commission found sufficient indications that foreign subsidies</w:t>
      </w:r>
      <w:r w:rsidR="005C4C0C">
        <w:rPr>
          <w:noProof/>
        </w:rPr>
        <w:t xml:space="preserve"> which </w:t>
      </w:r>
      <w:r w:rsidR="007E730D">
        <w:rPr>
          <w:noProof/>
        </w:rPr>
        <w:t>may have been</w:t>
      </w:r>
      <w:r w:rsidRPr="006D4FC3">
        <w:rPr>
          <w:noProof/>
        </w:rPr>
        <w:t xml:space="preserve"> granted by China</w:t>
      </w:r>
      <w:r w:rsidR="003B30D6">
        <w:rPr>
          <w:noProof/>
        </w:rPr>
        <w:t xml:space="preserve"> in the form of grants, loans and tax measures</w:t>
      </w:r>
      <w:r w:rsidRPr="006D4FC3">
        <w:rPr>
          <w:noProof/>
        </w:rPr>
        <w:t xml:space="preserve"> </w:t>
      </w:r>
      <w:r w:rsidR="005C4C0C">
        <w:rPr>
          <w:noProof/>
        </w:rPr>
        <w:t>could</w:t>
      </w:r>
      <w:r w:rsidR="005C4C0C" w:rsidRPr="006D4FC3">
        <w:rPr>
          <w:noProof/>
        </w:rPr>
        <w:t xml:space="preserve"> </w:t>
      </w:r>
      <w:r w:rsidRPr="006D4FC3">
        <w:rPr>
          <w:noProof/>
        </w:rPr>
        <w:t>distort competition in the internal market, by unduly supporting Goldwind, at the expense of its competitors.</w:t>
      </w:r>
      <w:r w:rsidR="003B30D6">
        <w:rPr>
          <w:noProof/>
        </w:rPr>
        <w:t xml:space="preserve"> In particular, the </w:t>
      </w:r>
      <w:r w:rsidRPr="00750DE1">
        <w:rPr>
          <w:noProof/>
        </w:rPr>
        <w:t>Commission</w:t>
      </w:r>
      <w:r w:rsidRPr="00750DE1" w:rsidDel="003B30D6">
        <w:rPr>
          <w:noProof/>
        </w:rPr>
        <w:t xml:space="preserve"> </w:t>
      </w:r>
      <w:r w:rsidRPr="00750DE1">
        <w:rPr>
          <w:noProof/>
        </w:rPr>
        <w:t>found indications that foreign subsidies may enable Goldwind to offer lower prices than its competitors, thereby winning more wind project tenders in the EU than it would have done in the absence of those foreign subsidies.</w:t>
      </w:r>
    </w:p>
    <w:p w14:paraId="4308FD61" w14:textId="52B1741C" w:rsidR="00C31842" w:rsidRDefault="00C31842" w:rsidP="005F1BD2">
      <w:pPr>
        <w:pStyle w:val="Heading4"/>
        <w:rPr>
          <w:noProof/>
        </w:rPr>
      </w:pPr>
      <w:bookmarkStart w:id="66" w:name="_Toc234227865"/>
      <w:r>
        <w:rPr>
          <w:noProof/>
        </w:rPr>
        <w:t>Review by the EU Courts</w:t>
      </w:r>
      <w:bookmarkEnd w:id="66"/>
    </w:p>
    <w:p w14:paraId="29E71402" w14:textId="77777777" w:rsidR="005B61EC" w:rsidRDefault="005B61EC" w:rsidP="005B61EC">
      <w:pPr>
        <w:rPr>
          <w:noProof/>
        </w:rPr>
      </w:pPr>
      <w:r w:rsidRPr="00765FC1">
        <w:rPr>
          <w:noProof/>
        </w:rPr>
        <w:t xml:space="preserve">In the context of ex officio investigations, </w:t>
      </w:r>
      <w:r>
        <w:rPr>
          <w:noProof/>
        </w:rPr>
        <w:t xml:space="preserve">some investigative acts of </w:t>
      </w:r>
      <w:r w:rsidRPr="00765FC1">
        <w:rPr>
          <w:noProof/>
        </w:rPr>
        <w:t xml:space="preserve">the Commission </w:t>
      </w:r>
      <w:r>
        <w:rPr>
          <w:noProof/>
        </w:rPr>
        <w:t>have been subject to review by the Union Courts</w:t>
      </w:r>
      <w:r w:rsidRPr="00765FC1">
        <w:rPr>
          <w:noProof/>
        </w:rPr>
        <w:t>:</w:t>
      </w:r>
    </w:p>
    <w:p w14:paraId="20F74926" w14:textId="77777777" w:rsidR="005B61EC" w:rsidRDefault="005B61EC" w:rsidP="005B61EC">
      <w:pPr>
        <w:pStyle w:val="ListParagraph"/>
        <w:numPr>
          <w:ilvl w:val="0"/>
          <w:numId w:val="248"/>
        </w:numPr>
        <w:rPr>
          <w:noProof/>
          <w:lang w:val="en-IE"/>
        </w:rPr>
      </w:pPr>
      <w:r w:rsidRPr="00785BBB">
        <w:rPr>
          <w:b/>
          <w:bCs/>
          <w:noProof/>
        </w:rPr>
        <w:t>Case T-284/24</w:t>
      </w:r>
      <w:r>
        <w:rPr>
          <w:noProof/>
        </w:rPr>
        <w:t xml:space="preserve"> </w:t>
      </w:r>
      <w:r w:rsidRPr="00812A40">
        <w:rPr>
          <w:noProof/>
        </w:rPr>
        <w:t>–</w:t>
      </w:r>
      <w:r>
        <w:rPr>
          <w:noProof/>
        </w:rPr>
        <w:t xml:space="preserve"> </w:t>
      </w:r>
      <w:r w:rsidRPr="00812A40">
        <w:rPr>
          <w:b/>
          <w:noProof/>
        </w:rPr>
        <w:t>Nuctech</w:t>
      </w:r>
      <w:r>
        <w:rPr>
          <w:noProof/>
        </w:rPr>
        <w:t xml:space="preserve"> </w:t>
      </w:r>
      <w:r w:rsidRPr="00812A40">
        <w:rPr>
          <w:noProof/>
        </w:rPr>
        <w:t>–</w:t>
      </w:r>
      <w:r>
        <w:rPr>
          <w:noProof/>
        </w:rPr>
        <w:t xml:space="preserve"> </w:t>
      </w:r>
      <w:r>
        <w:rPr>
          <w:noProof/>
          <w:lang w:val="en-IE"/>
        </w:rPr>
        <w:t>i</w:t>
      </w:r>
      <w:r w:rsidRPr="00765FC1">
        <w:rPr>
          <w:noProof/>
          <w:lang w:val="en-IE"/>
        </w:rPr>
        <w:t xml:space="preserve">n May 2024, Nuctech brought an action for annulment before the General Court challenging the Commission’s </w:t>
      </w:r>
      <w:r>
        <w:rPr>
          <w:noProof/>
          <w:lang w:val="en-IE"/>
        </w:rPr>
        <w:t>I</w:t>
      </w:r>
      <w:r w:rsidRPr="00765FC1">
        <w:rPr>
          <w:noProof/>
          <w:lang w:val="en-IE"/>
        </w:rPr>
        <w:t xml:space="preserve">nspection </w:t>
      </w:r>
      <w:r>
        <w:rPr>
          <w:noProof/>
          <w:lang w:val="en-IE"/>
        </w:rPr>
        <w:t>D</w:t>
      </w:r>
      <w:r w:rsidRPr="00765FC1">
        <w:rPr>
          <w:noProof/>
          <w:lang w:val="en-IE"/>
        </w:rPr>
        <w:t>ecision </w:t>
      </w:r>
      <w:r w:rsidR="0050686F" w:rsidRPr="00765FC1">
        <w:rPr>
          <w:noProof/>
          <w:lang w:val="en-IE"/>
        </w:rPr>
        <w:t>(</w:t>
      </w:r>
      <w:r w:rsidR="0050686F">
        <w:rPr>
          <w:rStyle w:val="FootnoteReference"/>
          <w:noProof/>
          <w:lang w:val="en-IE"/>
        </w:rPr>
        <w:footnoteReference w:id="42"/>
      </w:r>
      <w:r w:rsidR="0050686F" w:rsidRPr="00765FC1">
        <w:rPr>
          <w:noProof/>
          <w:lang w:val="en-IE"/>
        </w:rPr>
        <w:t>)</w:t>
      </w:r>
      <w:r w:rsidR="0050686F">
        <w:rPr>
          <w:noProof/>
          <w:lang w:val="en-IE"/>
        </w:rPr>
        <w:t>.</w:t>
      </w:r>
      <w:r w:rsidRPr="00765FC1">
        <w:rPr>
          <w:noProof/>
          <w:lang w:val="en-IE"/>
        </w:rPr>
        <w:t xml:space="preserve"> </w:t>
      </w:r>
      <w:r>
        <w:rPr>
          <w:noProof/>
          <w:lang w:val="en-IE"/>
        </w:rPr>
        <w:t>At the same time</w:t>
      </w:r>
      <w:r w:rsidRPr="00765FC1">
        <w:rPr>
          <w:noProof/>
          <w:lang w:val="en-IE"/>
        </w:rPr>
        <w:t>, Nuctech</w:t>
      </w:r>
      <w:r>
        <w:rPr>
          <w:noProof/>
          <w:lang w:val="en-IE"/>
        </w:rPr>
        <w:t xml:space="preserve"> also</w:t>
      </w:r>
      <w:r w:rsidRPr="00765FC1">
        <w:rPr>
          <w:noProof/>
          <w:lang w:val="en-IE"/>
        </w:rPr>
        <w:t xml:space="preserve"> </w:t>
      </w:r>
      <w:r>
        <w:rPr>
          <w:noProof/>
          <w:lang w:val="en-IE"/>
        </w:rPr>
        <w:t>applied for interim measures, seeking</w:t>
      </w:r>
      <w:r w:rsidRPr="00765FC1">
        <w:rPr>
          <w:noProof/>
          <w:lang w:val="en-IE"/>
        </w:rPr>
        <w:t xml:space="preserve"> suspension of the Commission’s </w:t>
      </w:r>
      <w:r>
        <w:rPr>
          <w:noProof/>
          <w:lang w:val="en-IE"/>
        </w:rPr>
        <w:t>I</w:t>
      </w:r>
      <w:r w:rsidRPr="00765FC1">
        <w:rPr>
          <w:noProof/>
          <w:lang w:val="en-IE"/>
        </w:rPr>
        <w:t xml:space="preserve">nspection </w:t>
      </w:r>
      <w:r>
        <w:rPr>
          <w:noProof/>
          <w:lang w:val="en-IE"/>
        </w:rPr>
        <w:t>D</w:t>
      </w:r>
      <w:r w:rsidRPr="00765FC1">
        <w:rPr>
          <w:noProof/>
          <w:lang w:val="en-IE"/>
        </w:rPr>
        <w:t>ecision pending the outcome of the main proceedings (</w:t>
      </w:r>
      <w:r>
        <w:rPr>
          <w:rStyle w:val="FootnoteReference"/>
          <w:noProof/>
          <w:lang w:val="en-IE"/>
        </w:rPr>
        <w:footnoteReference w:id="43"/>
      </w:r>
      <w:r w:rsidRPr="00765FC1">
        <w:rPr>
          <w:noProof/>
          <w:lang w:val="en-IE"/>
        </w:rPr>
        <w:t>)</w:t>
      </w:r>
      <w:r>
        <w:rPr>
          <w:noProof/>
          <w:lang w:val="en-IE"/>
        </w:rPr>
        <w:t>.</w:t>
      </w:r>
      <w:r w:rsidRPr="00765FC1">
        <w:rPr>
          <w:noProof/>
          <w:lang w:val="en-IE"/>
        </w:rPr>
        <w:t xml:space="preserve"> </w:t>
      </w:r>
      <w:r>
        <w:rPr>
          <w:noProof/>
          <w:lang w:val="en-IE"/>
        </w:rPr>
        <w:t>I</w:t>
      </w:r>
      <w:r w:rsidRPr="00765FC1">
        <w:rPr>
          <w:noProof/>
          <w:lang w:val="en-IE"/>
        </w:rPr>
        <w:t>n August 2024</w:t>
      </w:r>
      <w:r>
        <w:rPr>
          <w:noProof/>
          <w:lang w:val="en-IE"/>
        </w:rPr>
        <w:t xml:space="preserve">, the President of the General Court rejected the application for interim measures </w:t>
      </w:r>
      <w:r w:rsidRPr="00765FC1">
        <w:rPr>
          <w:noProof/>
          <w:lang w:val="en-IE"/>
        </w:rPr>
        <w:t>(</w:t>
      </w:r>
      <w:r>
        <w:rPr>
          <w:rStyle w:val="FootnoteReference"/>
          <w:noProof/>
          <w:lang w:val="en-IE"/>
        </w:rPr>
        <w:footnoteReference w:id="44"/>
      </w:r>
      <w:r w:rsidRPr="00765FC1">
        <w:rPr>
          <w:noProof/>
          <w:lang w:val="en-IE"/>
        </w:rPr>
        <w:t>)</w:t>
      </w:r>
      <w:r>
        <w:rPr>
          <w:noProof/>
          <w:lang w:val="en-IE"/>
        </w:rPr>
        <w:t xml:space="preserve">, consequently confirmed on appeal by the Vice-President of the Court of Justice in March 2025 </w:t>
      </w:r>
      <w:r w:rsidRPr="00765FC1">
        <w:rPr>
          <w:noProof/>
          <w:lang w:val="en-IE"/>
        </w:rPr>
        <w:t>(</w:t>
      </w:r>
      <w:r>
        <w:rPr>
          <w:rStyle w:val="FootnoteReference"/>
          <w:noProof/>
          <w:lang w:val="en-IE"/>
        </w:rPr>
        <w:footnoteReference w:id="45"/>
      </w:r>
      <w:r w:rsidRPr="00765FC1">
        <w:rPr>
          <w:noProof/>
          <w:lang w:val="en-IE"/>
        </w:rPr>
        <w:t>)</w:t>
      </w:r>
      <w:r>
        <w:rPr>
          <w:noProof/>
          <w:lang w:val="en-IE"/>
        </w:rPr>
        <w:t>. At time of publication of this Report, t</w:t>
      </w:r>
      <w:r w:rsidRPr="00765FC1">
        <w:rPr>
          <w:noProof/>
          <w:lang w:val="en-IE"/>
        </w:rPr>
        <w:t xml:space="preserve">he proceedings </w:t>
      </w:r>
      <w:r>
        <w:rPr>
          <w:noProof/>
          <w:lang w:val="en-IE"/>
        </w:rPr>
        <w:t xml:space="preserve">related to the action for annulment of the Inspection Decision </w:t>
      </w:r>
      <w:r w:rsidRPr="00765FC1">
        <w:rPr>
          <w:noProof/>
          <w:lang w:val="en-IE"/>
        </w:rPr>
        <w:t>remain pending before the General Court</w:t>
      </w:r>
      <w:r>
        <w:rPr>
          <w:noProof/>
          <w:lang w:val="en-IE"/>
        </w:rPr>
        <w:t>.</w:t>
      </w:r>
    </w:p>
    <w:p w14:paraId="49BE0807" w14:textId="77777777" w:rsidR="005B61EC" w:rsidRPr="00765FC1" w:rsidRDefault="005B61EC" w:rsidP="005B61EC">
      <w:pPr>
        <w:pStyle w:val="ListParagraph"/>
        <w:rPr>
          <w:noProof/>
          <w:lang w:val="en-IE"/>
        </w:rPr>
      </w:pPr>
    </w:p>
    <w:p w14:paraId="1A46CA7D" w14:textId="5EAFD375" w:rsidR="005B61EC" w:rsidRPr="006041B3" w:rsidRDefault="005B61EC" w:rsidP="005B61EC">
      <w:pPr>
        <w:pStyle w:val="ListParagraph"/>
        <w:numPr>
          <w:ilvl w:val="0"/>
          <w:numId w:val="248"/>
        </w:numPr>
        <w:rPr>
          <w:noProof/>
          <w:lang w:val="en-IE"/>
        </w:rPr>
      </w:pPr>
      <w:r w:rsidRPr="00785BBB">
        <w:rPr>
          <w:b/>
          <w:bCs/>
          <w:noProof/>
        </w:rPr>
        <w:t>Case T-335/26</w:t>
      </w:r>
      <w:r>
        <w:rPr>
          <w:noProof/>
        </w:rPr>
        <w:t xml:space="preserve"> </w:t>
      </w:r>
      <w:r w:rsidRPr="00812A40">
        <w:rPr>
          <w:noProof/>
        </w:rPr>
        <w:t>–</w:t>
      </w:r>
      <w:r>
        <w:rPr>
          <w:noProof/>
        </w:rPr>
        <w:t xml:space="preserve"> </w:t>
      </w:r>
      <w:r w:rsidRPr="00812A40">
        <w:rPr>
          <w:b/>
          <w:noProof/>
          <w:lang w:val="en-IE"/>
        </w:rPr>
        <w:t>Goldwind</w:t>
      </w:r>
      <w:r>
        <w:rPr>
          <w:noProof/>
          <w:lang w:val="en-IE"/>
        </w:rPr>
        <w:t xml:space="preserve"> </w:t>
      </w:r>
      <w:r w:rsidRPr="00812A40">
        <w:rPr>
          <w:noProof/>
        </w:rPr>
        <w:t>–</w:t>
      </w:r>
      <w:r>
        <w:rPr>
          <w:noProof/>
          <w:lang w:val="en-IE"/>
        </w:rPr>
        <w:t xml:space="preserve"> in</w:t>
      </w:r>
      <w:r w:rsidRPr="007E0E16">
        <w:rPr>
          <w:noProof/>
          <w:lang w:val="en-IE"/>
        </w:rPr>
        <w:t xml:space="preserve"> May 2026</w:t>
      </w:r>
      <w:r>
        <w:rPr>
          <w:noProof/>
          <w:lang w:val="en-IE"/>
        </w:rPr>
        <w:t>,</w:t>
      </w:r>
      <w:r w:rsidRPr="007E0E16">
        <w:rPr>
          <w:noProof/>
          <w:lang w:val="en-IE"/>
        </w:rPr>
        <w:t xml:space="preserve"> Goldwind </w:t>
      </w:r>
      <w:r w:rsidRPr="00765FC1">
        <w:rPr>
          <w:noProof/>
          <w:lang w:val="en-IE"/>
        </w:rPr>
        <w:t>brought an action for annulment before the General Court</w:t>
      </w:r>
      <w:r>
        <w:rPr>
          <w:noProof/>
          <w:lang w:val="en-IE"/>
        </w:rPr>
        <w:t xml:space="preserve"> challenging the Commission’s </w:t>
      </w:r>
      <w:r w:rsidRPr="007E0E16">
        <w:rPr>
          <w:noProof/>
          <w:lang w:val="en-IE"/>
        </w:rPr>
        <w:t>request for information</w:t>
      </w:r>
      <w:r w:rsidRPr="00283E74">
        <w:rPr>
          <w:noProof/>
          <w:lang w:val="en-IE"/>
        </w:rPr>
        <w:t> (</w:t>
      </w:r>
      <w:r>
        <w:rPr>
          <w:rStyle w:val="FootnoteReference"/>
          <w:noProof/>
          <w:lang w:val="en-IE"/>
        </w:rPr>
        <w:footnoteReference w:id="46"/>
      </w:r>
      <w:r>
        <w:rPr>
          <w:noProof/>
          <w:lang w:val="en-IE"/>
        </w:rPr>
        <w:t>) and requested interim measures for its suspension</w:t>
      </w:r>
      <w:r w:rsidRPr="00283E74">
        <w:rPr>
          <w:noProof/>
          <w:lang w:val="en-IE"/>
        </w:rPr>
        <w:t> (</w:t>
      </w:r>
      <w:r>
        <w:rPr>
          <w:rStyle w:val="FootnoteReference"/>
          <w:noProof/>
          <w:lang w:val="en-IE"/>
        </w:rPr>
        <w:footnoteReference w:id="47"/>
      </w:r>
      <w:r>
        <w:rPr>
          <w:noProof/>
          <w:lang w:val="en-IE"/>
        </w:rPr>
        <w:t>). The</w:t>
      </w:r>
      <w:r w:rsidRPr="00F115B8">
        <w:rPr>
          <w:noProof/>
          <w:lang w:val="en-IE"/>
        </w:rPr>
        <w:t xml:space="preserve"> </w:t>
      </w:r>
      <w:r w:rsidRPr="007E0E16">
        <w:rPr>
          <w:noProof/>
          <w:lang w:val="en-IE"/>
        </w:rPr>
        <w:t>request for information</w:t>
      </w:r>
      <w:r>
        <w:rPr>
          <w:noProof/>
          <w:lang w:val="en-IE"/>
        </w:rPr>
        <w:t xml:space="preserve"> was</w:t>
      </w:r>
      <w:r w:rsidRPr="007E0E16">
        <w:rPr>
          <w:noProof/>
          <w:lang w:val="en-IE"/>
        </w:rPr>
        <w:t xml:space="preserve"> sent as part of the in-</w:t>
      </w:r>
      <w:r w:rsidRPr="006041B3">
        <w:rPr>
          <w:noProof/>
          <w:lang w:val="en-IE"/>
        </w:rPr>
        <w:t>depth investigation into Goldwind’s activities in the EU wind sector in</w:t>
      </w:r>
      <w:r w:rsidRPr="006041B3">
        <w:rPr>
          <w:noProof/>
        </w:rPr>
        <w:t xml:space="preserve"> Case FS.100143</w:t>
      </w:r>
      <w:r w:rsidRPr="006041B3">
        <w:rPr>
          <w:noProof/>
          <w:lang w:val="en-IE"/>
        </w:rPr>
        <w:t>.</w:t>
      </w:r>
      <w:r w:rsidR="0050686F" w:rsidRPr="006041B3">
        <w:rPr>
          <w:noProof/>
          <w:lang w:val="en-IE"/>
        </w:rPr>
        <w:t xml:space="preserve"> At time of publication, the proceedings related to both applications remain pending before the General Court</w:t>
      </w:r>
      <w:r w:rsidRPr="006041B3">
        <w:rPr>
          <w:noProof/>
          <w:lang w:val="en-IE"/>
        </w:rPr>
        <w:t>.</w:t>
      </w:r>
    </w:p>
    <w:p w14:paraId="5B11586D" w14:textId="6E59E4A6" w:rsidR="004B06C5" w:rsidRPr="006041B3" w:rsidRDefault="004B06C5" w:rsidP="00807C9E">
      <w:pPr>
        <w:pStyle w:val="Heading4"/>
        <w:rPr>
          <w:noProof/>
        </w:rPr>
      </w:pPr>
      <w:bookmarkStart w:id="67" w:name="_Toc234227866"/>
      <w:r w:rsidRPr="006041B3">
        <w:rPr>
          <w:noProof/>
        </w:rPr>
        <w:t>Feedback from stakeholders</w:t>
      </w:r>
      <w:bookmarkEnd w:id="67"/>
      <w:r w:rsidRPr="006041B3">
        <w:rPr>
          <w:noProof/>
        </w:rPr>
        <w:t xml:space="preserve"> </w:t>
      </w:r>
    </w:p>
    <w:p w14:paraId="46CDCA53" w14:textId="1383820C" w:rsidR="003C293B" w:rsidRPr="00D73DBB" w:rsidRDefault="009E5702" w:rsidP="004A1922">
      <w:pPr>
        <w:rPr>
          <w:noProof/>
        </w:rPr>
      </w:pPr>
      <w:r w:rsidRPr="00D73DBB">
        <w:rPr>
          <w:noProof/>
        </w:rPr>
        <w:t xml:space="preserve">Stakeholders generally recognise the ex-officio investigation mechanism as a central element </w:t>
      </w:r>
      <w:r w:rsidR="00EF4C79" w:rsidRPr="00D73DBB">
        <w:rPr>
          <w:noProof/>
        </w:rPr>
        <w:t>to ensuring a level playing field in the internal market</w:t>
      </w:r>
      <w:r w:rsidR="00D96D72">
        <w:rPr>
          <w:noProof/>
        </w:rPr>
        <w:t xml:space="preserve"> as it is reported by 25 stakeholders </w:t>
      </w:r>
      <w:r w:rsidR="005203E1">
        <w:rPr>
          <w:noProof/>
        </w:rPr>
        <w:t xml:space="preserve">out of </w:t>
      </w:r>
      <w:r w:rsidR="00D96D72">
        <w:rPr>
          <w:noProof/>
        </w:rPr>
        <w:t xml:space="preserve">the </w:t>
      </w:r>
      <w:r w:rsidR="005203E1">
        <w:rPr>
          <w:noProof/>
        </w:rPr>
        <w:t xml:space="preserve">54 submissions </w:t>
      </w:r>
      <w:r w:rsidR="00D96D72">
        <w:rPr>
          <w:noProof/>
        </w:rPr>
        <w:t>in the public consultation</w:t>
      </w:r>
      <w:r w:rsidRPr="00D73DBB">
        <w:rPr>
          <w:noProof/>
        </w:rPr>
        <w:t xml:space="preserve">. Respondents </w:t>
      </w:r>
      <w:r w:rsidR="00280A2D">
        <w:rPr>
          <w:noProof/>
        </w:rPr>
        <w:t xml:space="preserve">to the </w:t>
      </w:r>
      <w:r w:rsidR="00B34641">
        <w:rPr>
          <w:noProof/>
        </w:rPr>
        <w:t>S</w:t>
      </w:r>
      <w:r w:rsidR="00280A2D">
        <w:rPr>
          <w:noProof/>
        </w:rPr>
        <w:t xml:space="preserve">takeholders’ </w:t>
      </w:r>
      <w:r w:rsidR="00B34641">
        <w:rPr>
          <w:noProof/>
        </w:rPr>
        <w:t>C</w:t>
      </w:r>
      <w:r w:rsidR="00280A2D">
        <w:rPr>
          <w:noProof/>
        </w:rPr>
        <w:t xml:space="preserve">onsultations </w:t>
      </w:r>
      <w:r w:rsidRPr="00750DE1">
        <w:rPr>
          <w:noProof/>
        </w:rPr>
        <w:t xml:space="preserve">widely acknowledge that the ability for the Commission to act on its own initiative is necessary to address potentially distortive foreign </w:t>
      </w:r>
      <w:r w:rsidR="00EF4C79" w:rsidRPr="00750DE1">
        <w:rPr>
          <w:noProof/>
        </w:rPr>
        <w:t>subsidies</w:t>
      </w:r>
      <w:r w:rsidRPr="00750DE1">
        <w:rPr>
          <w:noProof/>
        </w:rPr>
        <w:t xml:space="preserve">. At the same </w:t>
      </w:r>
      <w:r w:rsidRPr="00750DE1" w:rsidDel="00CA5244">
        <w:rPr>
          <w:noProof/>
        </w:rPr>
        <w:t>time</w:t>
      </w:r>
      <w:r w:rsidR="00CA5244" w:rsidRPr="00750DE1">
        <w:rPr>
          <w:noProof/>
        </w:rPr>
        <w:t>, respondents</w:t>
      </w:r>
      <w:r w:rsidRPr="00750DE1" w:rsidDel="00CA5244">
        <w:rPr>
          <w:noProof/>
        </w:rPr>
        <w:t xml:space="preserve"> </w:t>
      </w:r>
      <w:r w:rsidR="009D2C8A" w:rsidRPr="009D2C8A">
        <w:rPr>
          <w:noProof/>
        </w:rPr>
        <w:t>to the public consultation</w:t>
      </w:r>
      <w:r w:rsidR="009D2C8A">
        <w:rPr>
          <w:noProof/>
        </w:rPr>
        <w:t xml:space="preserve"> </w:t>
      </w:r>
      <w:r w:rsidR="0078795F" w:rsidRPr="00750DE1">
        <w:rPr>
          <w:noProof/>
        </w:rPr>
        <w:t xml:space="preserve">note that there remain </w:t>
      </w:r>
      <w:r w:rsidR="005168D3">
        <w:rPr>
          <w:noProof/>
        </w:rPr>
        <w:t xml:space="preserve">some </w:t>
      </w:r>
      <w:r w:rsidR="0078795F" w:rsidRPr="00750DE1">
        <w:rPr>
          <w:noProof/>
        </w:rPr>
        <w:t>uncertainties in relation to</w:t>
      </w:r>
      <w:r w:rsidRPr="00750DE1">
        <w:rPr>
          <w:noProof/>
        </w:rPr>
        <w:t xml:space="preserve"> the duration of investigations</w:t>
      </w:r>
      <w:r w:rsidRPr="00750DE1" w:rsidDel="008D25C5">
        <w:rPr>
          <w:noProof/>
        </w:rPr>
        <w:t>.</w:t>
      </w:r>
      <w:r w:rsidR="00B40F6C" w:rsidRPr="00750DE1" w:rsidDel="00C30E8F">
        <w:rPr>
          <w:noProof/>
        </w:rPr>
        <w:t xml:space="preserve"> </w:t>
      </w:r>
      <w:r w:rsidR="00C30E8F" w:rsidRPr="00750DE1">
        <w:rPr>
          <w:noProof/>
        </w:rPr>
        <w:t xml:space="preserve">In addition, </w:t>
      </w:r>
      <w:r w:rsidR="00C30E8F" w:rsidRPr="00354BB6">
        <w:rPr>
          <w:noProof/>
        </w:rPr>
        <w:t>several</w:t>
      </w:r>
      <w:r w:rsidR="00C30E8F" w:rsidRPr="00750DE1">
        <w:rPr>
          <w:noProof/>
        </w:rPr>
        <w:t xml:space="preserve"> respondents </w:t>
      </w:r>
      <w:r w:rsidR="005168D3">
        <w:rPr>
          <w:noProof/>
        </w:rPr>
        <w:t>flag</w:t>
      </w:r>
      <w:r w:rsidR="005168D3" w:rsidRPr="00750DE1">
        <w:rPr>
          <w:noProof/>
        </w:rPr>
        <w:t xml:space="preserve"> </w:t>
      </w:r>
      <w:r w:rsidR="00C30E8F" w:rsidRPr="00750DE1">
        <w:rPr>
          <w:noProof/>
        </w:rPr>
        <w:t xml:space="preserve">the lack of transparency and guidance </w:t>
      </w:r>
      <w:r w:rsidR="00174A71">
        <w:rPr>
          <w:noProof/>
        </w:rPr>
        <w:t>for</w:t>
      </w:r>
      <w:r w:rsidR="00174A71" w:rsidRPr="00750DE1">
        <w:rPr>
          <w:noProof/>
        </w:rPr>
        <w:t xml:space="preserve"> </w:t>
      </w:r>
      <w:r w:rsidR="00C30E8F" w:rsidRPr="00750DE1">
        <w:rPr>
          <w:noProof/>
        </w:rPr>
        <w:t>circumstances in which ex officio investigations are initiated and how prioritisation decisions are taken</w:t>
      </w:r>
      <w:r w:rsidR="00B40F6C" w:rsidRPr="00750DE1">
        <w:rPr>
          <w:noProof/>
        </w:rPr>
        <w:t>.</w:t>
      </w:r>
      <w:r w:rsidR="00FB4196" w:rsidRPr="00750DE1">
        <w:rPr>
          <w:noProof/>
        </w:rPr>
        <w:t xml:space="preserve"> </w:t>
      </w:r>
    </w:p>
    <w:p w14:paraId="10A457DD" w14:textId="45AEF51A" w:rsidR="004B06C5" w:rsidRDefault="00C61556" w:rsidP="00807C9E">
      <w:pPr>
        <w:pStyle w:val="Heading4"/>
        <w:rPr>
          <w:noProof/>
          <w:lang w:val="en-IE"/>
        </w:rPr>
      </w:pPr>
      <w:bookmarkStart w:id="68" w:name="_Toc234227867"/>
      <w:r>
        <w:rPr>
          <w:noProof/>
          <w:lang w:val="en-IE"/>
        </w:rPr>
        <w:t xml:space="preserve">The </w:t>
      </w:r>
      <w:r w:rsidRPr="00807C9E">
        <w:rPr>
          <w:noProof/>
        </w:rPr>
        <w:t>Commission</w:t>
      </w:r>
      <w:r w:rsidR="00A4426A">
        <w:rPr>
          <w:noProof/>
        </w:rPr>
        <w:t xml:space="preserve"> services</w:t>
      </w:r>
      <w:r w:rsidRPr="00807C9E">
        <w:rPr>
          <w:noProof/>
        </w:rPr>
        <w:t>’</w:t>
      </w:r>
      <w:r>
        <w:rPr>
          <w:noProof/>
          <w:lang w:val="en-IE"/>
        </w:rPr>
        <w:t xml:space="preserve"> assessment</w:t>
      </w:r>
      <w:bookmarkEnd w:id="68"/>
    </w:p>
    <w:p w14:paraId="422B2ABB" w14:textId="1F3F51D3" w:rsidR="00361467" w:rsidRPr="00750DE1" w:rsidRDefault="005203E1" w:rsidP="004A1922">
      <w:pPr>
        <w:rPr>
          <w:noProof/>
          <w:lang w:val="en-IE"/>
        </w:rPr>
      </w:pPr>
      <w:r>
        <w:rPr>
          <w:noProof/>
          <w:lang w:val="en-IE"/>
        </w:rPr>
        <w:t>Based on the Commission practice to date and the feedback in the Stakeholders’ Consultations, t</w:t>
      </w:r>
      <w:r w:rsidR="00361467" w:rsidRPr="00750DE1">
        <w:rPr>
          <w:noProof/>
          <w:lang w:val="en-IE"/>
        </w:rPr>
        <w:t xml:space="preserve">he Commission </w:t>
      </w:r>
      <w:r w:rsidR="00584978">
        <w:rPr>
          <w:noProof/>
          <w:lang w:val="en-IE"/>
        </w:rPr>
        <w:t>services</w:t>
      </w:r>
      <w:r w:rsidR="00361467" w:rsidRPr="00750DE1">
        <w:rPr>
          <w:noProof/>
          <w:lang w:val="en-IE"/>
        </w:rPr>
        <w:t xml:space="preserve"> consider that the ex-officio investigation mechanism functions as intended and that the relevant provisions of the FSR provide an effective framework to pursue the Regulation’s objective of ensuring a level playing field in the internal market. In particular, the ex officio </w:t>
      </w:r>
      <w:r w:rsidR="0078249C">
        <w:rPr>
          <w:noProof/>
          <w:lang w:val="en-IE"/>
        </w:rPr>
        <w:t>review powers</w:t>
      </w:r>
      <w:r w:rsidR="00361467" w:rsidRPr="00750DE1">
        <w:rPr>
          <w:noProof/>
          <w:lang w:val="en-IE"/>
        </w:rPr>
        <w:t xml:space="preserve"> enable the Commission to address potentially distortive foreign subsidies </w:t>
      </w:r>
      <w:r w:rsidR="00CE3A79">
        <w:rPr>
          <w:noProof/>
          <w:lang w:val="en-IE"/>
        </w:rPr>
        <w:t>in any economic activity</w:t>
      </w:r>
      <w:r w:rsidR="00361467" w:rsidRPr="00750DE1">
        <w:rPr>
          <w:noProof/>
          <w:lang w:val="en-IE"/>
        </w:rPr>
        <w:t xml:space="preserve">. </w:t>
      </w:r>
    </w:p>
    <w:p w14:paraId="0A47C917" w14:textId="6F2CFF0A" w:rsidR="008441D0" w:rsidRDefault="00627236" w:rsidP="004A1922">
      <w:pPr>
        <w:rPr>
          <w:noProof/>
          <w:lang w:val="en-IE"/>
        </w:rPr>
      </w:pPr>
      <w:r>
        <w:rPr>
          <w:noProof/>
          <w:lang w:val="en-IE"/>
        </w:rPr>
        <w:t>Some of the early</w:t>
      </w:r>
      <w:r w:rsidR="00361467" w:rsidRPr="00750DE1" w:rsidDel="004E40BD">
        <w:rPr>
          <w:noProof/>
          <w:lang w:val="en-IE"/>
        </w:rPr>
        <w:t xml:space="preserve"> </w:t>
      </w:r>
      <w:r w:rsidR="00361467" w:rsidRPr="00750DE1">
        <w:rPr>
          <w:noProof/>
          <w:lang w:val="en-IE"/>
        </w:rPr>
        <w:t>stakeholder</w:t>
      </w:r>
      <w:r w:rsidR="00E44EA9">
        <w:rPr>
          <w:noProof/>
          <w:lang w:val="en-IE"/>
        </w:rPr>
        <w:t>s’</w:t>
      </w:r>
      <w:r w:rsidR="00361467" w:rsidRPr="00750DE1">
        <w:rPr>
          <w:noProof/>
          <w:lang w:val="en-IE"/>
        </w:rPr>
        <w:t xml:space="preserve"> feedback indicate</w:t>
      </w:r>
      <w:r>
        <w:rPr>
          <w:noProof/>
          <w:lang w:val="en-IE"/>
        </w:rPr>
        <w:t>s</w:t>
      </w:r>
      <w:r w:rsidR="00361467" w:rsidRPr="00750DE1">
        <w:rPr>
          <w:noProof/>
          <w:lang w:val="en-IE"/>
        </w:rPr>
        <w:t xml:space="preserve"> </w:t>
      </w:r>
      <w:r w:rsidR="003D24A1">
        <w:rPr>
          <w:noProof/>
          <w:lang w:val="en-IE"/>
        </w:rPr>
        <w:t>a</w:t>
      </w:r>
      <w:r w:rsidR="004E40BD">
        <w:rPr>
          <w:noProof/>
          <w:lang w:val="en-IE"/>
        </w:rPr>
        <w:t xml:space="preserve"> possible</w:t>
      </w:r>
      <w:r w:rsidR="00361467" w:rsidRPr="00750DE1">
        <w:rPr>
          <w:noProof/>
          <w:lang w:val="en-IE"/>
        </w:rPr>
        <w:t xml:space="preserve"> </w:t>
      </w:r>
      <w:r w:rsidR="00CE3A79">
        <w:rPr>
          <w:noProof/>
          <w:lang w:val="en-IE"/>
        </w:rPr>
        <w:t xml:space="preserve">lack of </w:t>
      </w:r>
      <w:r w:rsidR="00361467" w:rsidRPr="00750DE1">
        <w:rPr>
          <w:noProof/>
          <w:lang w:val="en-IE"/>
        </w:rPr>
        <w:t>predictability</w:t>
      </w:r>
      <w:r w:rsidR="00CE3A79">
        <w:rPr>
          <w:noProof/>
          <w:lang w:val="en-IE"/>
        </w:rPr>
        <w:t xml:space="preserve"> on </w:t>
      </w:r>
      <w:r w:rsidR="00FF6625">
        <w:rPr>
          <w:noProof/>
          <w:lang w:val="en-IE"/>
        </w:rPr>
        <w:t xml:space="preserve">the </w:t>
      </w:r>
      <w:r w:rsidR="00CE3A79">
        <w:rPr>
          <w:noProof/>
          <w:lang w:val="en-IE"/>
        </w:rPr>
        <w:t>duration</w:t>
      </w:r>
      <w:r w:rsidR="00361467" w:rsidRPr="00750DE1">
        <w:rPr>
          <w:noProof/>
          <w:lang w:val="en-IE"/>
        </w:rPr>
        <w:t xml:space="preserve"> of ex officio investigations </w:t>
      </w:r>
      <w:r>
        <w:rPr>
          <w:noProof/>
          <w:lang w:val="en-IE"/>
        </w:rPr>
        <w:t xml:space="preserve">which may </w:t>
      </w:r>
      <w:r w:rsidR="008D25C5">
        <w:rPr>
          <w:noProof/>
          <w:lang w:val="en-IE"/>
        </w:rPr>
        <w:t>create uncertainty for businesses</w:t>
      </w:r>
      <w:r w:rsidR="00361467" w:rsidRPr="00D73DBB">
        <w:rPr>
          <w:noProof/>
          <w:lang w:val="en-IE"/>
        </w:rPr>
        <w:t>.</w:t>
      </w:r>
      <w:r w:rsidR="00361467" w:rsidDel="008D25C5">
        <w:rPr>
          <w:noProof/>
          <w:lang w:val="en-IE"/>
        </w:rPr>
        <w:t xml:space="preserve"> </w:t>
      </w:r>
      <w:r>
        <w:rPr>
          <w:noProof/>
          <w:lang w:val="en-IE"/>
        </w:rPr>
        <w:t>However</w:t>
      </w:r>
      <w:r w:rsidR="004E40BD">
        <w:rPr>
          <w:noProof/>
          <w:lang w:val="en-IE"/>
        </w:rPr>
        <w:t xml:space="preserve">, </w:t>
      </w:r>
      <w:r w:rsidR="008441D0">
        <w:rPr>
          <w:noProof/>
          <w:lang w:val="en-IE"/>
        </w:rPr>
        <w:t>experience shows that</w:t>
      </w:r>
      <w:r w:rsidR="004E40BD" w:rsidRPr="00ED7C1D">
        <w:rPr>
          <w:noProof/>
          <w:lang w:val="en-IE"/>
        </w:rPr>
        <w:t xml:space="preserve"> the duration of these proceedings is often also impacted by the level of cooperation of the </w:t>
      </w:r>
      <w:r w:rsidR="004E40BD">
        <w:rPr>
          <w:noProof/>
          <w:lang w:val="en-IE"/>
        </w:rPr>
        <w:t>undertaking under investigation</w:t>
      </w:r>
      <w:r w:rsidR="004E40BD" w:rsidRPr="00ED7C1D">
        <w:rPr>
          <w:noProof/>
          <w:lang w:val="en-IE"/>
        </w:rPr>
        <w:t xml:space="preserve"> and </w:t>
      </w:r>
      <w:r w:rsidR="0052529E">
        <w:rPr>
          <w:noProof/>
          <w:lang w:val="en-IE"/>
        </w:rPr>
        <w:t>the provision of</w:t>
      </w:r>
      <w:r w:rsidR="004E40BD" w:rsidRPr="00ED7C1D">
        <w:rPr>
          <w:noProof/>
          <w:lang w:val="en-IE"/>
        </w:rPr>
        <w:t xml:space="preserve"> relevant information to the Commission for assessment</w:t>
      </w:r>
      <w:r w:rsidR="008441D0">
        <w:rPr>
          <w:noProof/>
          <w:lang w:val="en-IE"/>
        </w:rPr>
        <w:t xml:space="preserve"> as well as actions brought before the EU Courts</w:t>
      </w:r>
      <w:r w:rsidR="004E40BD" w:rsidRPr="00ED7C1D">
        <w:rPr>
          <w:noProof/>
          <w:lang w:val="en-IE"/>
        </w:rPr>
        <w:t xml:space="preserve">. Furthermore, </w:t>
      </w:r>
      <w:r w:rsidR="00F0206D">
        <w:rPr>
          <w:noProof/>
          <w:lang w:val="en-IE"/>
        </w:rPr>
        <w:t>it is noted</w:t>
      </w:r>
      <w:r w:rsidR="004E40BD" w:rsidRPr="00ED7C1D">
        <w:rPr>
          <w:noProof/>
          <w:lang w:val="en-IE"/>
        </w:rPr>
        <w:t xml:space="preserve"> that in current investigations, the 18</w:t>
      </w:r>
      <w:r w:rsidR="004E40BD">
        <w:rPr>
          <w:noProof/>
          <w:vertAlign w:val="superscript"/>
          <w:lang w:val="en-IE"/>
        </w:rPr>
        <w:t>-</w:t>
      </w:r>
      <w:r w:rsidR="004E40BD" w:rsidRPr="00ED7C1D">
        <w:rPr>
          <w:noProof/>
          <w:lang w:val="en-IE"/>
        </w:rPr>
        <w:t>month</w:t>
      </w:r>
      <w:r w:rsidR="00EE71C3">
        <w:rPr>
          <w:noProof/>
          <w:lang w:val="en-IE"/>
        </w:rPr>
        <w:t>s</w:t>
      </w:r>
      <w:r w:rsidR="004E40BD" w:rsidRPr="00ED7C1D">
        <w:rPr>
          <w:noProof/>
          <w:lang w:val="en-IE"/>
        </w:rPr>
        <w:t xml:space="preserve"> period</w:t>
      </w:r>
      <w:r w:rsidR="00EE71C3">
        <w:rPr>
          <w:noProof/>
          <w:lang w:val="en-IE"/>
        </w:rPr>
        <w:t>s</w:t>
      </w:r>
      <w:r>
        <w:rPr>
          <w:noProof/>
          <w:lang w:val="en-IE"/>
        </w:rPr>
        <w:t xml:space="preserve"> referenced in </w:t>
      </w:r>
      <w:r w:rsidR="00765A31">
        <w:rPr>
          <w:noProof/>
          <w:lang w:val="en-IE"/>
        </w:rPr>
        <w:t>Article </w:t>
      </w:r>
      <w:r>
        <w:rPr>
          <w:noProof/>
          <w:lang w:val="en-IE"/>
        </w:rPr>
        <w:t>11(5) FSR</w:t>
      </w:r>
      <w:r w:rsidR="004E40BD" w:rsidRPr="00ED7C1D">
        <w:rPr>
          <w:noProof/>
          <w:lang w:val="en-IE"/>
        </w:rPr>
        <w:t xml:space="preserve"> ha</w:t>
      </w:r>
      <w:r w:rsidR="00EE71C3">
        <w:rPr>
          <w:noProof/>
          <w:lang w:val="en-IE"/>
        </w:rPr>
        <w:t>ve</w:t>
      </w:r>
      <w:r w:rsidR="004E40BD" w:rsidRPr="00ED7C1D">
        <w:rPr>
          <w:noProof/>
          <w:lang w:val="en-IE"/>
        </w:rPr>
        <w:t xml:space="preserve"> not expired</w:t>
      </w:r>
      <w:r w:rsidR="004E40BD">
        <w:rPr>
          <w:noProof/>
          <w:lang w:val="en-IE"/>
        </w:rPr>
        <w:t xml:space="preserve">. </w:t>
      </w:r>
    </w:p>
    <w:p w14:paraId="39D16965" w14:textId="0102119C" w:rsidR="008441D0" w:rsidRDefault="00641D6D" w:rsidP="004A1922">
      <w:pPr>
        <w:rPr>
          <w:noProof/>
        </w:rPr>
      </w:pPr>
      <w:r w:rsidRPr="00AA261D">
        <w:rPr>
          <w:noProof/>
        </w:rPr>
        <w:t xml:space="preserve">In accordance with </w:t>
      </w:r>
      <w:r w:rsidR="00765A31" w:rsidRPr="00AA261D">
        <w:rPr>
          <w:noProof/>
        </w:rPr>
        <w:t>Article</w:t>
      </w:r>
      <w:r w:rsidR="00765A31">
        <w:rPr>
          <w:noProof/>
        </w:rPr>
        <w:t> </w:t>
      </w:r>
      <w:r w:rsidRPr="00AA261D">
        <w:rPr>
          <w:noProof/>
        </w:rPr>
        <w:t>10(3) FSR, th</w:t>
      </w:r>
      <w:r w:rsidR="004E40BD">
        <w:rPr>
          <w:noProof/>
        </w:rPr>
        <w:t>e</w:t>
      </w:r>
      <w:r w:rsidRPr="00AA261D">
        <w:rPr>
          <w:noProof/>
        </w:rPr>
        <w:t xml:space="preserve"> </w:t>
      </w:r>
      <w:r w:rsidR="00E44EA9">
        <w:rPr>
          <w:noProof/>
        </w:rPr>
        <w:t>opening</w:t>
      </w:r>
      <w:r w:rsidR="00AA261D">
        <w:rPr>
          <w:noProof/>
        </w:rPr>
        <w:t xml:space="preserve"> decisions</w:t>
      </w:r>
      <w:r w:rsidR="004E40BD">
        <w:rPr>
          <w:noProof/>
        </w:rPr>
        <w:t xml:space="preserve"> in these cases have been</w:t>
      </w:r>
      <w:r w:rsidRPr="00AA261D">
        <w:rPr>
          <w:noProof/>
        </w:rPr>
        <w:t xml:space="preserve"> accompanied by summary notices published in the Official Journal of the EU, which provide </w:t>
      </w:r>
      <w:r w:rsidR="00E44EA9">
        <w:rPr>
          <w:noProof/>
        </w:rPr>
        <w:t xml:space="preserve">a </w:t>
      </w:r>
      <w:r w:rsidRPr="00AA261D">
        <w:rPr>
          <w:noProof/>
        </w:rPr>
        <w:t xml:space="preserve">short overview of the Commission’s preliminary </w:t>
      </w:r>
      <w:r w:rsidR="00CE3A79">
        <w:rPr>
          <w:noProof/>
        </w:rPr>
        <w:t>assessment</w:t>
      </w:r>
      <w:r w:rsidRPr="00AA261D">
        <w:rPr>
          <w:noProof/>
        </w:rPr>
        <w:t xml:space="preserve"> </w:t>
      </w:r>
      <w:r w:rsidR="00174A71">
        <w:rPr>
          <w:noProof/>
        </w:rPr>
        <w:t>of</w:t>
      </w:r>
      <w:r w:rsidR="00174A71" w:rsidRPr="00AA261D">
        <w:rPr>
          <w:noProof/>
        </w:rPr>
        <w:t xml:space="preserve"> </w:t>
      </w:r>
      <w:r w:rsidRPr="00AA261D">
        <w:rPr>
          <w:noProof/>
        </w:rPr>
        <w:t>the presence of distortive foreign subsidies in those cases</w:t>
      </w:r>
      <w:r w:rsidR="008441D0">
        <w:rPr>
          <w:noProof/>
        </w:rPr>
        <w:t xml:space="preserve"> which servers to raise awareness and to invite comments from any other interested party.</w:t>
      </w:r>
      <w:r w:rsidRPr="00AA261D">
        <w:rPr>
          <w:noProof/>
        </w:rPr>
        <w:t xml:space="preserve"> </w:t>
      </w:r>
    </w:p>
    <w:p w14:paraId="5C52BF2C" w14:textId="01C4163C" w:rsidR="008D25C5" w:rsidRDefault="00641D6D" w:rsidP="004A1922">
      <w:pPr>
        <w:rPr>
          <w:noProof/>
        </w:rPr>
      </w:pPr>
      <w:r w:rsidRPr="00AA261D">
        <w:rPr>
          <w:noProof/>
        </w:rPr>
        <w:t xml:space="preserve">Similarly to notified cases, </w:t>
      </w:r>
      <w:r w:rsidR="00C03448">
        <w:rPr>
          <w:noProof/>
        </w:rPr>
        <w:t>a</w:t>
      </w:r>
      <w:r w:rsidRPr="00AA261D">
        <w:rPr>
          <w:noProof/>
        </w:rPr>
        <w:t xml:space="preserve"> timely publication of the outcome of in-depth investigations</w:t>
      </w:r>
      <w:r w:rsidR="008441D0">
        <w:rPr>
          <w:noProof/>
        </w:rPr>
        <w:t xml:space="preserve"> in ex officio cases will be ensured</w:t>
      </w:r>
      <w:r w:rsidRPr="00AA261D">
        <w:rPr>
          <w:noProof/>
        </w:rPr>
        <w:t xml:space="preserve">, once the assessment has been finalised and a final decision has been adopted. </w:t>
      </w:r>
    </w:p>
    <w:p w14:paraId="24C31FE9" w14:textId="039626A6" w:rsidR="00641D6D" w:rsidRPr="00AA261D" w:rsidRDefault="00641D6D" w:rsidP="004A1922">
      <w:pPr>
        <w:rPr>
          <w:noProof/>
        </w:rPr>
      </w:pPr>
      <w:r w:rsidRPr="00AA261D">
        <w:rPr>
          <w:noProof/>
        </w:rPr>
        <w:t>All</w:t>
      </w:r>
      <w:r w:rsidR="00280A2D">
        <w:rPr>
          <w:noProof/>
        </w:rPr>
        <w:t xml:space="preserve"> </w:t>
      </w:r>
      <w:r w:rsidRPr="00AA261D">
        <w:rPr>
          <w:noProof/>
        </w:rPr>
        <w:t>of th</w:t>
      </w:r>
      <w:r w:rsidR="00C03448">
        <w:rPr>
          <w:noProof/>
        </w:rPr>
        <w:t>e</w:t>
      </w:r>
      <w:r w:rsidRPr="00AA261D">
        <w:rPr>
          <w:noProof/>
        </w:rPr>
        <w:t xml:space="preserve">se efforts provide further clarity and transparency of the Commission's enforcement practice with respect to </w:t>
      </w:r>
      <w:r w:rsidR="008D25C5">
        <w:rPr>
          <w:noProof/>
        </w:rPr>
        <w:t xml:space="preserve">the use of its </w:t>
      </w:r>
      <w:r w:rsidRPr="00AA261D">
        <w:rPr>
          <w:noProof/>
        </w:rPr>
        <w:t>ex officio</w:t>
      </w:r>
      <w:r w:rsidR="008D25C5">
        <w:rPr>
          <w:noProof/>
        </w:rPr>
        <w:t xml:space="preserve"> powers</w:t>
      </w:r>
      <w:r w:rsidRPr="00AA261D">
        <w:rPr>
          <w:noProof/>
        </w:rPr>
        <w:t>.</w:t>
      </w:r>
    </w:p>
    <w:p w14:paraId="617F85A4" w14:textId="72C0DBBD" w:rsidR="00CC58D4" w:rsidRPr="00AA261D" w:rsidRDefault="00232F27" w:rsidP="00807C9E">
      <w:pPr>
        <w:pStyle w:val="Heading3"/>
        <w:rPr>
          <w:noProof/>
        </w:rPr>
      </w:pPr>
      <w:bookmarkStart w:id="69" w:name="_Ref227930622"/>
      <w:bookmarkStart w:id="70" w:name="_Toc234227868"/>
      <w:r>
        <w:rPr>
          <w:noProof/>
          <w:lang w:val="en-IE"/>
        </w:rPr>
        <w:t xml:space="preserve">Notification </w:t>
      </w:r>
      <w:r w:rsidR="00CE3A79">
        <w:rPr>
          <w:noProof/>
          <w:lang w:val="en-IE"/>
        </w:rPr>
        <w:t xml:space="preserve">of </w:t>
      </w:r>
      <w:r w:rsidRPr="00807C9E">
        <w:rPr>
          <w:noProof/>
        </w:rPr>
        <w:t>concentrations</w:t>
      </w:r>
      <w:bookmarkEnd w:id="69"/>
      <w:bookmarkEnd w:id="70"/>
    </w:p>
    <w:p w14:paraId="7436D7AA" w14:textId="26E9BB6F" w:rsidR="00CC58D4" w:rsidRDefault="000C094F" w:rsidP="00807C9E">
      <w:pPr>
        <w:pStyle w:val="Heading4"/>
        <w:rPr>
          <w:noProof/>
          <w:lang w:val="en-IE"/>
        </w:rPr>
      </w:pPr>
      <w:bookmarkStart w:id="71" w:name="_Toc234227869"/>
      <w:r>
        <w:rPr>
          <w:noProof/>
          <w:lang w:val="en-IE"/>
        </w:rPr>
        <w:t>Information on cases</w:t>
      </w:r>
      <w:bookmarkEnd w:id="71"/>
    </w:p>
    <w:p w14:paraId="21F94396" w14:textId="38920336" w:rsidR="00BF5829" w:rsidRPr="00D029E6" w:rsidRDefault="008D25C5" w:rsidP="004A1922">
      <w:pPr>
        <w:rPr>
          <w:noProof/>
          <w:lang w:val="en-IE"/>
        </w:rPr>
      </w:pPr>
      <w:r>
        <w:rPr>
          <w:noProof/>
          <w:lang w:val="en-IE"/>
        </w:rPr>
        <w:t xml:space="preserve">From the start of the notification obligation until </w:t>
      </w:r>
      <w:r w:rsidR="00925D44">
        <w:rPr>
          <w:noProof/>
          <w:lang w:val="en-IE"/>
        </w:rPr>
        <w:t>31 May</w:t>
      </w:r>
      <w:r w:rsidRPr="0055064F">
        <w:rPr>
          <w:noProof/>
          <w:lang w:val="en-IE"/>
        </w:rPr>
        <w:t xml:space="preserve"> 2026</w:t>
      </w:r>
      <w:r w:rsidR="00BF5829" w:rsidRPr="00D029E6">
        <w:rPr>
          <w:noProof/>
          <w:lang w:val="en-IE"/>
        </w:rPr>
        <w:t xml:space="preserve">, the Commission has received </w:t>
      </w:r>
      <w:r w:rsidR="00925D44">
        <w:rPr>
          <w:noProof/>
          <w:lang w:val="en-IE"/>
        </w:rPr>
        <w:t>27</w:t>
      </w:r>
      <w:r w:rsidR="008441D0">
        <w:rPr>
          <w:noProof/>
          <w:lang w:val="en-IE"/>
        </w:rPr>
        <w:t>2</w:t>
      </w:r>
      <w:r w:rsidR="00925D44" w:rsidRPr="00D029E6">
        <w:rPr>
          <w:noProof/>
          <w:lang w:val="en-IE"/>
        </w:rPr>
        <w:t xml:space="preserve"> </w:t>
      </w:r>
      <w:r w:rsidR="00BF5829" w:rsidRPr="00D029E6">
        <w:rPr>
          <w:noProof/>
          <w:lang w:val="en-IE"/>
        </w:rPr>
        <w:t xml:space="preserve">formal notifications under the concentration </w:t>
      </w:r>
      <w:r w:rsidR="006F70C4" w:rsidRPr="00D029E6">
        <w:rPr>
          <w:noProof/>
          <w:lang w:val="en-IE"/>
        </w:rPr>
        <w:t xml:space="preserve">notification </w:t>
      </w:r>
      <w:r w:rsidR="008A6947" w:rsidRPr="00D029E6">
        <w:rPr>
          <w:noProof/>
          <w:lang w:val="en-IE"/>
        </w:rPr>
        <w:t>procedure</w:t>
      </w:r>
      <w:r w:rsidR="00BF5829" w:rsidRPr="00D029E6">
        <w:rPr>
          <w:noProof/>
          <w:lang w:val="en-IE"/>
        </w:rPr>
        <w:t>, as follows:</w:t>
      </w:r>
    </w:p>
    <w:p w14:paraId="27EF2E1E" w14:textId="54920BD4" w:rsidR="00BF5829" w:rsidRPr="00D029E6" w:rsidRDefault="00BF5829" w:rsidP="005F1BD2">
      <w:pPr>
        <w:pStyle w:val="Bullet1"/>
        <w:numPr>
          <w:ilvl w:val="0"/>
          <w:numId w:val="232"/>
        </w:numPr>
        <w:rPr>
          <w:noProof/>
          <w:lang w:val="en-IE"/>
        </w:rPr>
      </w:pPr>
      <w:r w:rsidRPr="00D029E6">
        <w:rPr>
          <w:noProof/>
          <w:lang w:val="en-IE"/>
        </w:rPr>
        <w:t>11 were notified in 2023 (from October 2023 until end of 2023)</w:t>
      </w:r>
      <w:r w:rsidR="00174A71">
        <w:rPr>
          <w:noProof/>
          <w:lang w:val="en-IE"/>
        </w:rPr>
        <w:t>;</w:t>
      </w:r>
    </w:p>
    <w:p w14:paraId="76C79064" w14:textId="01DC9C5C" w:rsidR="00BF5829" w:rsidRPr="00D029E6" w:rsidRDefault="00BF5829" w:rsidP="00A4426A">
      <w:pPr>
        <w:pStyle w:val="Bullet1"/>
        <w:numPr>
          <w:ilvl w:val="0"/>
          <w:numId w:val="232"/>
        </w:numPr>
        <w:rPr>
          <w:noProof/>
          <w:lang w:val="en-IE"/>
        </w:rPr>
      </w:pPr>
      <w:r w:rsidRPr="00D029E6">
        <w:rPr>
          <w:noProof/>
          <w:lang w:val="en-IE"/>
        </w:rPr>
        <w:t>102 were notified in 2024</w:t>
      </w:r>
      <w:r w:rsidR="00174A71">
        <w:rPr>
          <w:noProof/>
          <w:lang w:val="en-IE"/>
        </w:rPr>
        <w:t>;</w:t>
      </w:r>
      <w:r w:rsidRPr="00D029E6">
        <w:rPr>
          <w:noProof/>
          <w:lang w:val="en-IE"/>
        </w:rPr>
        <w:t xml:space="preserve"> </w:t>
      </w:r>
    </w:p>
    <w:p w14:paraId="3BD29862" w14:textId="07672ED2" w:rsidR="00BF5829" w:rsidRPr="00D029E6" w:rsidRDefault="00BF5829" w:rsidP="00A4426A">
      <w:pPr>
        <w:pStyle w:val="Bullet1"/>
        <w:numPr>
          <w:ilvl w:val="0"/>
          <w:numId w:val="232"/>
        </w:numPr>
        <w:rPr>
          <w:noProof/>
          <w:lang w:val="en-IE"/>
        </w:rPr>
      </w:pPr>
      <w:r w:rsidRPr="00D029E6">
        <w:rPr>
          <w:noProof/>
          <w:lang w:val="en-IE"/>
        </w:rPr>
        <w:t>99 were notified in 2025</w:t>
      </w:r>
      <w:r w:rsidR="00174A71">
        <w:rPr>
          <w:noProof/>
          <w:lang w:val="en-IE"/>
        </w:rPr>
        <w:t>;</w:t>
      </w:r>
    </w:p>
    <w:p w14:paraId="7D6F75AC" w14:textId="585A3BD1" w:rsidR="00BF5829" w:rsidRPr="00D029E6" w:rsidRDefault="00925D44" w:rsidP="00A4426A">
      <w:pPr>
        <w:pStyle w:val="Bullet1"/>
        <w:numPr>
          <w:ilvl w:val="0"/>
          <w:numId w:val="232"/>
        </w:numPr>
        <w:rPr>
          <w:noProof/>
          <w:lang w:val="en-IE"/>
        </w:rPr>
      </w:pPr>
      <w:r>
        <w:rPr>
          <w:noProof/>
          <w:lang w:val="en-IE"/>
        </w:rPr>
        <w:t>6</w:t>
      </w:r>
      <w:r w:rsidR="008441D0">
        <w:rPr>
          <w:noProof/>
          <w:lang w:val="en-IE"/>
        </w:rPr>
        <w:t>0</w:t>
      </w:r>
      <w:r w:rsidRPr="0055064F">
        <w:rPr>
          <w:noProof/>
          <w:lang w:val="en-IE"/>
        </w:rPr>
        <w:t xml:space="preserve"> </w:t>
      </w:r>
      <w:r w:rsidR="00BF5829" w:rsidRPr="0055064F">
        <w:rPr>
          <w:noProof/>
          <w:lang w:val="en-IE"/>
        </w:rPr>
        <w:t xml:space="preserve">were notified between 1 January and </w:t>
      </w:r>
      <w:r>
        <w:rPr>
          <w:noProof/>
          <w:lang w:val="en-IE"/>
        </w:rPr>
        <w:t>31 May</w:t>
      </w:r>
      <w:r w:rsidR="00BF5829" w:rsidRPr="0055064F">
        <w:rPr>
          <w:noProof/>
          <w:lang w:val="en-IE"/>
        </w:rPr>
        <w:t xml:space="preserve"> 2026</w:t>
      </w:r>
      <w:r w:rsidR="00BF5829" w:rsidRPr="00D029E6">
        <w:rPr>
          <w:noProof/>
          <w:lang w:val="en-IE"/>
        </w:rPr>
        <w:t>.</w:t>
      </w:r>
    </w:p>
    <w:p w14:paraId="5AD10FB1" w14:textId="6876278F" w:rsidR="00BF5829" w:rsidRDefault="00BF5829" w:rsidP="004A1922">
      <w:pPr>
        <w:rPr>
          <w:noProof/>
          <w:lang w:val="en-IE"/>
        </w:rPr>
      </w:pPr>
      <w:r w:rsidRPr="00D029E6">
        <w:rPr>
          <w:noProof/>
          <w:lang w:val="en-IE"/>
        </w:rPr>
        <w:t xml:space="preserve">Of </w:t>
      </w:r>
      <w:r w:rsidR="00751840" w:rsidRPr="00D029E6">
        <w:rPr>
          <w:noProof/>
          <w:lang w:val="en-IE"/>
        </w:rPr>
        <w:t>all the above</w:t>
      </w:r>
      <w:r w:rsidRPr="00D029E6">
        <w:rPr>
          <w:noProof/>
          <w:lang w:val="en-IE"/>
        </w:rPr>
        <w:t xml:space="preserve"> cases, </w:t>
      </w:r>
      <w:r w:rsidR="00D029E6" w:rsidRPr="00D029E6">
        <w:rPr>
          <w:noProof/>
          <w:lang w:val="en-IE"/>
        </w:rPr>
        <w:t>24</w:t>
      </w:r>
      <w:r w:rsidR="00925D44">
        <w:rPr>
          <w:noProof/>
          <w:lang w:val="en-IE"/>
        </w:rPr>
        <w:t>7</w:t>
      </w:r>
      <w:r w:rsidRPr="00D029E6">
        <w:rPr>
          <w:noProof/>
          <w:lang w:val="en-IE"/>
        </w:rPr>
        <w:t xml:space="preserve"> were closed after the assessment in the </w:t>
      </w:r>
      <w:r w:rsidR="00B043A2">
        <w:rPr>
          <w:noProof/>
          <w:lang w:val="en-IE"/>
        </w:rPr>
        <w:t>p</w:t>
      </w:r>
      <w:r w:rsidRPr="00D029E6">
        <w:rPr>
          <w:noProof/>
          <w:lang w:val="en-IE"/>
        </w:rPr>
        <w:t>reliminary</w:t>
      </w:r>
      <w:r>
        <w:rPr>
          <w:noProof/>
          <w:lang w:val="en-IE"/>
        </w:rPr>
        <w:t xml:space="preserve"> </w:t>
      </w:r>
      <w:r w:rsidR="00B043A2">
        <w:rPr>
          <w:noProof/>
          <w:lang w:val="en-IE"/>
        </w:rPr>
        <w:t>r</w:t>
      </w:r>
      <w:r>
        <w:rPr>
          <w:noProof/>
          <w:lang w:val="en-IE"/>
        </w:rPr>
        <w:t>eview did not result in sufficient indications about the presence of distortive foreign subsidies.</w:t>
      </w:r>
      <w:r w:rsidR="00CE3A79" w:rsidDel="00D029E6">
        <w:rPr>
          <w:noProof/>
          <w:lang w:val="en-IE"/>
        </w:rPr>
        <w:t xml:space="preserve"> </w:t>
      </w:r>
      <w:r w:rsidR="00D029E6">
        <w:rPr>
          <w:noProof/>
          <w:lang w:val="en-IE"/>
        </w:rPr>
        <w:t xml:space="preserve">Four </w:t>
      </w:r>
      <w:r w:rsidR="00CE3A79">
        <w:rPr>
          <w:noProof/>
          <w:lang w:val="en-IE"/>
        </w:rPr>
        <w:t xml:space="preserve">cases were withdrawn during the </w:t>
      </w:r>
      <w:r w:rsidR="00B043A2">
        <w:rPr>
          <w:noProof/>
          <w:lang w:val="en-IE"/>
        </w:rPr>
        <w:t>p</w:t>
      </w:r>
      <w:r w:rsidR="00CE3A79">
        <w:rPr>
          <w:noProof/>
          <w:lang w:val="en-IE"/>
        </w:rPr>
        <w:t xml:space="preserve">reliminary </w:t>
      </w:r>
      <w:r w:rsidR="00B043A2">
        <w:rPr>
          <w:noProof/>
          <w:lang w:val="en-IE"/>
        </w:rPr>
        <w:t>r</w:t>
      </w:r>
      <w:r w:rsidR="00CE3A79">
        <w:rPr>
          <w:noProof/>
          <w:lang w:val="en-IE"/>
        </w:rPr>
        <w:t>eview phase</w:t>
      </w:r>
      <w:r w:rsidR="00663EAF">
        <w:rPr>
          <w:noProof/>
          <w:lang w:val="en-IE"/>
        </w:rPr>
        <w:t xml:space="preserve">, and </w:t>
      </w:r>
      <w:r w:rsidR="00925D44">
        <w:rPr>
          <w:noProof/>
          <w:lang w:val="en-IE"/>
        </w:rPr>
        <w:t>for 1</w:t>
      </w:r>
      <w:r w:rsidR="008441D0">
        <w:rPr>
          <w:noProof/>
          <w:lang w:val="en-IE"/>
        </w:rPr>
        <w:t xml:space="preserve">8 </w:t>
      </w:r>
      <w:r w:rsidR="00925D44">
        <w:rPr>
          <w:noProof/>
          <w:lang w:val="en-IE"/>
        </w:rPr>
        <w:t>cases the preliminary review was</w:t>
      </w:r>
      <w:r w:rsidR="00663EAF">
        <w:rPr>
          <w:noProof/>
          <w:lang w:val="en-IE"/>
        </w:rPr>
        <w:t xml:space="preserve"> still ongoing</w:t>
      </w:r>
      <w:r w:rsidR="00CE3A79">
        <w:rPr>
          <w:noProof/>
          <w:lang w:val="en-IE"/>
        </w:rPr>
        <w:t>.</w:t>
      </w:r>
    </w:p>
    <w:p w14:paraId="39BD4149" w14:textId="15E6E514" w:rsidR="00BF5829" w:rsidRDefault="00BF5829" w:rsidP="004A1922">
      <w:pPr>
        <w:rPr>
          <w:noProof/>
          <w:lang w:val="en-IE"/>
        </w:rPr>
      </w:pPr>
      <w:r>
        <w:rPr>
          <w:noProof/>
          <w:lang w:val="en-IE"/>
        </w:rPr>
        <w:t xml:space="preserve">In </w:t>
      </w:r>
      <w:r w:rsidR="00925D44">
        <w:rPr>
          <w:noProof/>
          <w:lang w:val="en-IE"/>
        </w:rPr>
        <w:t>three</w:t>
      </w:r>
      <w:r>
        <w:rPr>
          <w:noProof/>
          <w:lang w:val="en-IE"/>
        </w:rPr>
        <w:t xml:space="preserve"> cases, the </w:t>
      </w:r>
      <w:r w:rsidR="000810BD">
        <w:rPr>
          <w:noProof/>
          <w:lang w:val="en-IE"/>
        </w:rPr>
        <w:t xml:space="preserve">Commission initiated </w:t>
      </w:r>
      <w:r w:rsidRPr="00BF5829">
        <w:rPr>
          <w:noProof/>
          <w:lang w:val="en-IE"/>
        </w:rPr>
        <w:t xml:space="preserve">in-depth-investigations. </w:t>
      </w:r>
    </w:p>
    <w:p w14:paraId="5BAB901D" w14:textId="46D22C8C" w:rsidR="00CE3A79" w:rsidRPr="00BF5829" w:rsidRDefault="00CE3A79" w:rsidP="004A1922">
      <w:pPr>
        <w:rPr>
          <w:noProof/>
          <w:lang w:val="en-IE"/>
        </w:rPr>
      </w:pPr>
      <w:r>
        <w:rPr>
          <w:noProof/>
          <w:lang w:val="en-IE"/>
        </w:rPr>
        <w:t xml:space="preserve">Until the same date, the Commission has not made use of its power to request </w:t>
      </w:r>
      <w:r w:rsidR="00751840">
        <w:rPr>
          <w:noProof/>
          <w:lang w:val="en-IE"/>
        </w:rPr>
        <w:t xml:space="preserve">the </w:t>
      </w:r>
      <w:r>
        <w:rPr>
          <w:noProof/>
          <w:lang w:val="en-IE"/>
        </w:rPr>
        <w:t xml:space="preserve">prior notification </w:t>
      </w:r>
      <w:r w:rsidR="00751840">
        <w:rPr>
          <w:noProof/>
          <w:lang w:val="en-IE"/>
        </w:rPr>
        <w:t>of any</w:t>
      </w:r>
      <w:r>
        <w:rPr>
          <w:noProof/>
          <w:lang w:val="en-IE"/>
        </w:rPr>
        <w:t xml:space="preserve"> concentrations in accordance with Article 21(5) FSR.</w:t>
      </w:r>
    </w:p>
    <w:p w14:paraId="5BCFD492" w14:textId="77777777" w:rsidR="000810BD" w:rsidRPr="00914E99" w:rsidRDefault="000810BD" w:rsidP="006041B3">
      <w:pPr>
        <w:pStyle w:val="ContNumLevel2"/>
        <w:keepNext/>
        <w:numPr>
          <w:ilvl w:val="1"/>
          <w:numId w:val="165"/>
        </w:numPr>
        <w:rPr>
          <w:noProof/>
          <w:lang w:val="en-IE"/>
        </w:rPr>
      </w:pPr>
      <w:r w:rsidRPr="00914E99">
        <w:rPr>
          <w:noProof/>
          <w:lang w:val="en-IE"/>
        </w:rPr>
        <w:t>Case FS.100011 - EMIRATES TELECOMMUNICATIONS GROUP / PPF TELECOM GROUP</w:t>
      </w:r>
    </w:p>
    <w:p w14:paraId="58B5873C" w14:textId="0E3C8D9A" w:rsidR="00BF5829" w:rsidRPr="00BF5829" w:rsidRDefault="00BF5829" w:rsidP="004A1922">
      <w:pPr>
        <w:rPr>
          <w:noProof/>
          <w:lang w:val="en-IE"/>
        </w:rPr>
      </w:pPr>
      <w:r w:rsidRPr="00BF5829">
        <w:rPr>
          <w:noProof/>
          <w:lang w:val="en-IE"/>
        </w:rPr>
        <w:t>The Emirates Telecommunications Group Company PJSC (‘e&amp;’) / PPF Telecom Group B.V transaction</w:t>
      </w:r>
      <w:r w:rsidRPr="00BF5829" w:rsidDel="00A354B0">
        <w:rPr>
          <w:noProof/>
          <w:lang w:val="en-IE"/>
        </w:rPr>
        <w:t xml:space="preserve"> </w:t>
      </w:r>
      <w:r w:rsidRPr="00BF5829">
        <w:rPr>
          <w:noProof/>
          <w:lang w:val="en-IE"/>
        </w:rPr>
        <w:t>was conditionally approved on 24 September 2024</w:t>
      </w:r>
      <w:r w:rsidR="000810BD">
        <w:rPr>
          <w:noProof/>
          <w:lang w:val="en-IE"/>
        </w:rPr>
        <w:t>. It concerned the acquisition by e</w:t>
      </w:r>
      <w:r w:rsidRPr="00BF5829">
        <w:rPr>
          <w:noProof/>
          <w:lang w:val="en-IE"/>
        </w:rPr>
        <w:t>&amp;</w:t>
      </w:r>
      <w:r w:rsidR="000810BD">
        <w:rPr>
          <w:noProof/>
          <w:lang w:val="en-IE"/>
        </w:rPr>
        <w:t xml:space="preserve">, </w:t>
      </w:r>
      <w:r w:rsidRPr="00BF5829">
        <w:rPr>
          <w:noProof/>
          <w:lang w:val="en-IE"/>
        </w:rPr>
        <w:t>the incumbent national telecommunications operator in the U</w:t>
      </w:r>
      <w:r w:rsidR="00CE3A79">
        <w:rPr>
          <w:noProof/>
          <w:lang w:val="en-IE"/>
        </w:rPr>
        <w:t xml:space="preserve">nited </w:t>
      </w:r>
      <w:r w:rsidRPr="00BF5829">
        <w:rPr>
          <w:noProof/>
          <w:lang w:val="en-IE"/>
        </w:rPr>
        <w:t>A</w:t>
      </w:r>
      <w:r w:rsidR="00CE3A79">
        <w:rPr>
          <w:noProof/>
          <w:lang w:val="en-IE"/>
        </w:rPr>
        <w:t xml:space="preserve">rab </w:t>
      </w:r>
      <w:r w:rsidRPr="00BF5829">
        <w:rPr>
          <w:noProof/>
          <w:lang w:val="en-IE"/>
        </w:rPr>
        <w:t>E</w:t>
      </w:r>
      <w:r w:rsidR="00CE3A79">
        <w:rPr>
          <w:noProof/>
          <w:lang w:val="en-IE"/>
        </w:rPr>
        <w:t>mirates (‘UAE’)</w:t>
      </w:r>
      <w:r w:rsidRPr="00BF5829">
        <w:rPr>
          <w:noProof/>
          <w:lang w:val="en-IE"/>
        </w:rPr>
        <w:t xml:space="preserve">, </w:t>
      </w:r>
      <w:r w:rsidR="000810BD">
        <w:rPr>
          <w:noProof/>
          <w:lang w:val="en-IE"/>
        </w:rPr>
        <w:t xml:space="preserve">of </w:t>
      </w:r>
      <w:r w:rsidRPr="00BF5829">
        <w:rPr>
          <w:noProof/>
          <w:lang w:val="en-IE"/>
        </w:rPr>
        <w:t>PPF</w:t>
      </w:r>
      <w:r w:rsidR="00EA1A8D">
        <w:rPr>
          <w:noProof/>
          <w:lang w:val="en-IE"/>
        </w:rPr>
        <w:t>’s</w:t>
      </w:r>
      <w:r w:rsidR="004C1807">
        <w:rPr>
          <w:noProof/>
          <w:lang w:val="en-IE"/>
        </w:rPr>
        <w:t xml:space="preserve"> </w:t>
      </w:r>
      <w:r w:rsidRPr="00BF5829">
        <w:rPr>
          <w:noProof/>
          <w:lang w:val="en-IE"/>
        </w:rPr>
        <w:t>telecommunication operat</w:t>
      </w:r>
      <w:r w:rsidR="00EA1A8D">
        <w:rPr>
          <w:noProof/>
          <w:lang w:val="en-IE"/>
        </w:rPr>
        <w:t>ions</w:t>
      </w:r>
      <w:r w:rsidRPr="00BF5829">
        <w:rPr>
          <w:noProof/>
          <w:lang w:val="en-IE"/>
        </w:rPr>
        <w:t xml:space="preserve"> in Bulgaria, Hungary, Slovakia</w:t>
      </w:r>
      <w:r w:rsidR="00280A2D">
        <w:rPr>
          <w:noProof/>
          <w:lang w:val="en-IE"/>
        </w:rPr>
        <w:t xml:space="preserve"> and</w:t>
      </w:r>
      <w:r w:rsidRPr="00BF5829">
        <w:rPr>
          <w:noProof/>
          <w:lang w:val="en-IE"/>
        </w:rPr>
        <w:t xml:space="preserve"> Serbia</w:t>
      </w:r>
      <w:r w:rsidR="00280A2D">
        <w:rPr>
          <w:noProof/>
          <w:lang w:val="en-IE"/>
        </w:rPr>
        <w:t>.</w:t>
      </w:r>
    </w:p>
    <w:p w14:paraId="15BA272C" w14:textId="501021BF" w:rsidR="00BF5829" w:rsidRPr="00BF5829" w:rsidRDefault="000810BD" w:rsidP="004A1922">
      <w:pPr>
        <w:rPr>
          <w:noProof/>
          <w:lang w:val="en-IE"/>
        </w:rPr>
      </w:pPr>
      <w:r>
        <w:rPr>
          <w:noProof/>
          <w:lang w:val="en-IE"/>
        </w:rPr>
        <w:t xml:space="preserve">The Commission found evidence of the presence of </w:t>
      </w:r>
      <w:r w:rsidR="00BF5829" w:rsidRPr="00BF5829">
        <w:rPr>
          <w:noProof/>
          <w:lang w:val="en-IE"/>
        </w:rPr>
        <w:t xml:space="preserve">foreign subsidies </w:t>
      </w:r>
      <w:r>
        <w:rPr>
          <w:noProof/>
          <w:lang w:val="en-IE"/>
        </w:rPr>
        <w:t>in the form of</w:t>
      </w:r>
      <w:r w:rsidR="00BF5829" w:rsidRPr="00BF5829">
        <w:rPr>
          <w:noProof/>
          <w:lang w:val="en-IE"/>
        </w:rPr>
        <w:t xml:space="preserve"> </w:t>
      </w:r>
      <w:r w:rsidR="00280A2D">
        <w:rPr>
          <w:noProof/>
          <w:lang w:val="en-IE"/>
        </w:rPr>
        <w:t xml:space="preserve">an </w:t>
      </w:r>
      <w:r w:rsidR="00BF5829" w:rsidRPr="00BF5829">
        <w:rPr>
          <w:noProof/>
          <w:lang w:val="en-IE"/>
        </w:rPr>
        <w:t>unlimited guarantee, grants and loans.</w:t>
      </w:r>
      <w:r>
        <w:rPr>
          <w:noProof/>
          <w:lang w:val="en-IE"/>
        </w:rPr>
        <w:t xml:space="preserve"> </w:t>
      </w:r>
      <w:r w:rsidR="00BF5829" w:rsidRPr="00BF5829">
        <w:rPr>
          <w:noProof/>
          <w:lang w:val="en-IE"/>
        </w:rPr>
        <w:t xml:space="preserve">The Commission did not find </w:t>
      </w:r>
      <w:r w:rsidR="00760215">
        <w:rPr>
          <w:noProof/>
          <w:lang w:val="en-IE"/>
        </w:rPr>
        <w:t xml:space="preserve">a </w:t>
      </w:r>
      <w:r w:rsidR="00BF5829" w:rsidRPr="00BF5829">
        <w:rPr>
          <w:noProof/>
          <w:lang w:val="en-IE"/>
        </w:rPr>
        <w:t xml:space="preserve">distortion in the acquisition </w:t>
      </w:r>
      <w:r w:rsidR="00BF5829" w:rsidRPr="00BF5829" w:rsidDel="000B6F9B">
        <w:rPr>
          <w:noProof/>
          <w:lang w:val="en-IE"/>
        </w:rPr>
        <w:t>process</w:t>
      </w:r>
      <w:r w:rsidR="000B6F9B" w:rsidRPr="00BF5829">
        <w:rPr>
          <w:noProof/>
          <w:lang w:val="en-IE"/>
        </w:rPr>
        <w:t xml:space="preserve"> but</w:t>
      </w:r>
      <w:r w:rsidR="00BF5829" w:rsidRPr="00BF5829">
        <w:rPr>
          <w:noProof/>
          <w:lang w:val="en-IE"/>
        </w:rPr>
        <w:t xml:space="preserve"> found distortions </w:t>
      </w:r>
      <w:r>
        <w:rPr>
          <w:noProof/>
          <w:lang w:val="en-IE"/>
        </w:rPr>
        <w:t>in the activities of the merged entity post-transaction</w:t>
      </w:r>
      <w:r w:rsidR="00BF5829" w:rsidRPr="00BF5829">
        <w:rPr>
          <w:noProof/>
          <w:lang w:val="en-IE"/>
        </w:rPr>
        <w:t xml:space="preserve"> (in the form of possibly distorted investments)</w:t>
      </w:r>
      <w:r>
        <w:rPr>
          <w:noProof/>
          <w:lang w:val="en-IE"/>
        </w:rPr>
        <w:t xml:space="preserve">. </w:t>
      </w:r>
    </w:p>
    <w:p w14:paraId="217D80E1" w14:textId="34E66D12" w:rsidR="00BF5829" w:rsidRDefault="000810BD" w:rsidP="004A1922">
      <w:pPr>
        <w:rPr>
          <w:noProof/>
          <w:lang w:val="en-IE"/>
        </w:rPr>
      </w:pPr>
      <w:r>
        <w:rPr>
          <w:noProof/>
          <w:lang w:val="en-IE"/>
        </w:rPr>
        <w:t>In order to address the distortion</w:t>
      </w:r>
      <w:r w:rsidR="00B043A2">
        <w:rPr>
          <w:noProof/>
          <w:lang w:val="en-IE"/>
        </w:rPr>
        <w:t xml:space="preserve"> detected</w:t>
      </w:r>
      <w:r>
        <w:rPr>
          <w:noProof/>
          <w:lang w:val="en-IE"/>
        </w:rPr>
        <w:t xml:space="preserve">, the Commission accepted commitments proposed by the notifying parties, which </w:t>
      </w:r>
      <w:r w:rsidR="00BF5829" w:rsidRPr="00BF5829">
        <w:rPr>
          <w:noProof/>
          <w:lang w:val="en-IE"/>
        </w:rPr>
        <w:t>involved</w:t>
      </w:r>
      <w:r w:rsidR="00BA2B52">
        <w:rPr>
          <w:noProof/>
          <w:lang w:val="en-IE"/>
        </w:rPr>
        <w:t xml:space="preserve"> </w:t>
      </w:r>
      <w:r w:rsidR="00765A31">
        <w:rPr>
          <w:noProof/>
          <w:lang w:val="en-IE"/>
        </w:rPr>
        <w:t>(</w:t>
      </w:r>
      <w:r w:rsidR="00BA2B52">
        <w:rPr>
          <w:noProof/>
          <w:lang w:val="en-IE"/>
        </w:rPr>
        <w:t>i</w:t>
      </w:r>
      <w:r w:rsidR="00765A31">
        <w:rPr>
          <w:noProof/>
          <w:lang w:val="en-IE"/>
        </w:rPr>
        <w:t>) </w:t>
      </w:r>
      <w:r w:rsidR="00EA1A8D">
        <w:rPr>
          <w:noProof/>
          <w:lang w:val="en-IE"/>
        </w:rPr>
        <w:t>ensuring that e&amp;’s</w:t>
      </w:r>
      <w:r w:rsidR="00BF5829" w:rsidRPr="00BF5829">
        <w:rPr>
          <w:noProof/>
          <w:lang w:val="en-IE"/>
        </w:rPr>
        <w:t xml:space="preserve"> Articles of Association do not deviate from ordinary UAE bankruptcy law, thereby removing the unlimited State guarantee</w:t>
      </w:r>
      <w:r w:rsidR="00760215">
        <w:rPr>
          <w:noProof/>
          <w:lang w:val="en-IE"/>
        </w:rPr>
        <w:t>,</w:t>
      </w:r>
      <w:r w:rsidR="00BF5829" w:rsidRPr="00BF5829">
        <w:rPr>
          <w:noProof/>
          <w:lang w:val="en-IE"/>
        </w:rPr>
        <w:t xml:space="preserve"> and</w:t>
      </w:r>
      <w:r w:rsidR="00BA2B52">
        <w:rPr>
          <w:noProof/>
          <w:lang w:val="en-IE"/>
        </w:rPr>
        <w:t xml:space="preserve"> </w:t>
      </w:r>
      <w:r w:rsidR="00765A31">
        <w:rPr>
          <w:noProof/>
          <w:lang w:val="en-IE"/>
        </w:rPr>
        <w:t>(</w:t>
      </w:r>
      <w:r w:rsidR="00BA2B52">
        <w:rPr>
          <w:noProof/>
          <w:lang w:val="en-IE"/>
        </w:rPr>
        <w:t>ii</w:t>
      </w:r>
      <w:r w:rsidR="00765A31">
        <w:rPr>
          <w:noProof/>
          <w:lang w:val="en-IE"/>
        </w:rPr>
        <w:t>) </w:t>
      </w:r>
      <w:r w:rsidR="00BF5829" w:rsidRPr="00BF5829">
        <w:rPr>
          <w:noProof/>
          <w:lang w:val="en-IE"/>
        </w:rPr>
        <w:t xml:space="preserve">hold-separate obligations between e&amp; and </w:t>
      </w:r>
      <w:r w:rsidR="00EA1A8D">
        <w:rPr>
          <w:noProof/>
          <w:lang w:val="en-IE"/>
        </w:rPr>
        <w:t xml:space="preserve">the </w:t>
      </w:r>
      <w:r w:rsidR="007A3981">
        <w:rPr>
          <w:noProof/>
          <w:lang w:val="en-IE"/>
        </w:rPr>
        <w:t>target</w:t>
      </w:r>
      <w:r w:rsidR="00BF5829" w:rsidRPr="00BF5829">
        <w:rPr>
          <w:noProof/>
          <w:lang w:val="en-IE"/>
        </w:rPr>
        <w:t>'s activities in the EU internal market.</w:t>
      </w:r>
    </w:p>
    <w:p w14:paraId="481EE63E" w14:textId="06F32109" w:rsidR="00280A2D" w:rsidRPr="00BF5829" w:rsidRDefault="00280A2D" w:rsidP="004A1922">
      <w:pPr>
        <w:rPr>
          <w:noProof/>
          <w:lang w:val="en-IE"/>
        </w:rPr>
      </w:pPr>
      <w:r>
        <w:rPr>
          <w:noProof/>
          <w:lang w:val="en-IE"/>
        </w:rPr>
        <w:t>The final non-confidential version of the decision with commitments is published on DG COMP website</w:t>
      </w:r>
      <w:r w:rsidR="00787161" w:rsidRPr="00787161">
        <w:rPr>
          <w:noProof/>
          <w:lang w:val="en-IE"/>
        </w:rPr>
        <w:t> (</w:t>
      </w:r>
      <w:r w:rsidR="00787161">
        <w:rPr>
          <w:rStyle w:val="FootnoteReference"/>
          <w:noProof/>
          <w:lang w:val="en-IE"/>
        </w:rPr>
        <w:footnoteReference w:id="48"/>
      </w:r>
      <w:r w:rsidR="00787161">
        <w:rPr>
          <w:noProof/>
          <w:lang w:val="en-IE"/>
        </w:rPr>
        <w:t>)</w:t>
      </w:r>
      <w:r w:rsidR="006971DF">
        <w:rPr>
          <w:noProof/>
          <w:lang w:val="en-IE"/>
        </w:rPr>
        <w:t>.</w:t>
      </w:r>
    </w:p>
    <w:p w14:paraId="4A420BE4" w14:textId="38CCA60A" w:rsidR="000810BD" w:rsidRPr="000810BD" w:rsidRDefault="000810BD" w:rsidP="006041B3">
      <w:pPr>
        <w:pStyle w:val="ContNumLevel2"/>
        <w:keepNext/>
        <w:rPr>
          <w:noProof/>
          <w:lang w:val="en-IE"/>
        </w:rPr>
      </w:pPr>
      <w:r w:rsidRPr="000810BD">
        <w:rPr>
          <w:noProof/>
          <w:lang w:val="en-IE"/>
        </w:rPr>
        <w:t xml:space="preserve">Case FS.100156 - </w:t>
      </w:r>
      <w:r w:rsidRPr="00AA261D">
        <w:rPr>
          <w:noProof/>
          <w:lang w:val="en-IE"/>
        </w:rPr>
        <w:t>ADNOC / COVESTRO</w:t>
      </w:r>
    </w:p>
    <w:p w14:paraId="77DE4816" w14:textId="09C992BD" w:rsidR="00BF5829" w:rsidRPr="00BF5829" w:rsidRDefault="00BF5829" w:rsidP="004A1922">
      <w:pPr>
        <w:rPr>
          <w:noProof/>
          <w:lang w:val="en-IE"/>
        </w:rPr>
      </w:pPr>
      <w:r w:rsidRPr="00BF5829">
        <w:rPr>
          <w:noProof/>
          <w:lang w:val="en-IE"/>
        </w:rPr>
        <w:t xml:space="preserve">The </w:t>
      </w:r>
      <w:r w:rsidR="00787161" w:rsidRPr="00787161">
        <w:rPr>
          <w:noProof/>
          <w:lang w:val="en-IE"/>
        </w:rPr>
        <w:t>Abu Dhabi National Oil Company</w:t>
      </w:r>
      <w:r w:rsidR="00787161">
        <w:rPr>
          <w:noProof/>
          <w:lang w:val="en-IE"/>
        </w:rPr>
        <w:t xml:space="preserve"> (</w:t>
      </w:r>
      <w:r w:rsidR="001238DC">
        <w:rPr>
          <w:noProof/>
          <w:lang w:val="en-IE"/>
        </w:rPr>
        <w:t>‘</w:t>
      </w:r>
      <w:r w:rsidRPr="00BF5829">
        <w:rPr>
          <w:noProof/>
          <w:lang w:val="en-IE"/>
        </w:rPr>
        <w:t>ADNOC</w:t>
      </w:r>
      <w:r w:rsidR="001238DC">
        <w:rPr>
          <w:noProof/>
          <w:lang w:val="en-IE"/>
        </w:rPr>
        <w:t>’</w:t>
      </w:r>
      <w:r w:rsidR="00787161">
        <w:rPr>
          <w:noProof/>
          <w:lang w:val="en-IE"/>
        </w:rPr>
        <w:t>)</w:t>
      </w:r>
      <w:r w:rsidR="00765A31">
        <w:rPr>
          <w:noProof/>
          <w:lang w:val="en-IE"/>
        </w:rPr>
        <w:t> </w:t>
      </w:r>
      <w:r w:rsidRPr="00BF5829">
        <w:rPr>
          <w:noProof/>
          <w:lang w:val="en-IE"/>
        </w:rPr>
        <w:t>/ Covestro transaction was conditionally approved on 14 November 2025.</w:t>
      </w:r>
      <w:r w:rsidR="005E03E2">
        <w:rPr>
          <w:noProof/>
          <w:lang w:val="en-IE"/>
        </w:rPr>
        <w:t xml:space="preserve"> </w:t>
      </w:r>
      <w:r w:rsidR="000810BD">
        <w:rPr>
          <w:noProof/>
          <w:lang w:val="en-IE"/>
        </w:rPr>
        <w:t xml:space="preserve">It concerned the acquisition by </w:t>
      </w:r>
      <w:r w:rsidRPr="00BF5829">
        <w:rPr>
          <w:noProof/>
          <w:lang w:val="en-IE"/>
        </w:rPr>
        <w:t xml:space="preserve">ADNOC, a </w:t>
      </w:r>
      <w:r w:rsidR="001818E9">
        <w:rPr>
          <w:noProof/>
          <w:lang w:val="en-IE"/>
        </w:rPr>
        <w:t>s</w:t>
      </w:r>
      <w:r w:rsidRPr="00BF5829">
        <w:rPr>
          <w:noProof/>
          <w:lang w:val="en-IE"/>
        </w:rPr>
        <w:t>tate-owned oil and gas producer and the national oil company of Abu Dhabi</w:t>
      </w:r>
      <w:r w:rsidR="00CE3A79">
        <w:rPr>
          <w:noProof/>
          <w:lang w:val="en-IE"/>
        </w:rPr>
        <w:t xml:space="preserve">, </w:t>
      </w:r>
      <w:r w:rsidR="000810BD">
        <w:rPr>
          <w:noProof/>
          <w:lang w:val="en-IE"/>
        </w:rPr>
        <w:t xml:space="preserve">of </w:t>
      </w:r>
      <w:r w:rsidRPr="00BF5829">
        <w:rPr>
          <w:noProof/>
          <w:lang w:val="en-IE"/>
        </w:rPr>
        <w:t>Covestro AG</w:t>
      </w:r>
      <w:r w:rsidR="000810BD">
        <w:rPr>
          <w:noProof/>
          <w:lang w:val="en-IE"/>
        </w:rPr>
        <w:t xml:space="preserve">, </w:t>
      </w:r>
      <w:r w:rsidRPr="00BF5829">
        <w:rPr>
          <w:noProof/>
          <w:lang w:val="en-IE"/>
        </w:rPr>
        <w:t>a chemicals producer established in Germany.</w:t>
      </w:r>
    </w:p>
    <w:p w14:paraId="4B3B9C64" w14:textId="7DABA33A" w:rsidR="00BF5829" w:rsidRPr="00BF5829" w:rsidRDefault="00BF5829" w:rsidP="004A1922">
      <w:pPr>
        <w:rPr>
          <w:noProof/>
          <w:lang w:val="en-IE"/>
        </w:rPr>
      </w:pPr>
      <w:r w:rsidRPr="00BF5829">
        <w:rPr>
          <w:noProof/>
          <w:lang w:val="en-IE"/>
        </w:rPr>
        <w:t>The</w:t>
      </w:r>
      <w:r w:rsidR="000810BD">
        <w:rPr>
          <w:noProof/>
          <w:lang w:val="en-IE"/>
        </w:rPr>
        <w:t xml:space="preserve"> Commission found </w:t>
      </w:r>
      <w:r w:rsidR="00FF144E">
        <w:rPr>
          <w:noProof/>
          <w:lang w:val="en-IE"/>
        </w:rPr>
        <w:t>evidence</w:t>
      </w:r>
      <w:r w:rsidR="000810BD">
        <w:rPr>
          <w:noProof/>
          <w:lang w:val="en-IE"/>
        </w:rPr>
        <w:t xml:space="preserve"> of the presence of</w:t>
      </w:r>
      <w:r w:rsidRPr="00BF5829">
        <w:rPr>
          <w:noProof/>
          <w:lang w:val="en-IE"/>
        </w:rPr>
        <w:t xml:space="preserve"> foreign subsidies </w:t>
      </w:r>
      <w:r w:rsidR="000810BD">
        <w:rPr>
          <w:noProof/>
          <w:lang w:val="en-IE"/>
        </w:rPr>
        <w:t>granted</w:t>
      </w:r>
      <w:r w:rsidRPr="00BF5829">
        <w:rPr>
          <w:noProof/>
          <w:lang w:val="en-IE"/>
        </w:rPr>
        <w:t xml:space="preserve"> by </w:t>
      </w:r>
      <w:r w:rsidR="00760215">
        <w:rPr>
          <w:noProof/>
          <w:lang w:val="en-IE"/>
        </w:rPr>
        <w:t xml:space="preserve">the </w:t>
      </w:r>
      <w:r w:rsidRPr="00BF5829">
        <w:rPr>
          <w:noProof/>
          <w:lang w:val="en-IE"/>
        </w:rPr>
        <w:t xml:space="preserve">UAE to both the </w:t>
      </w:r>
      <w:r w:rsidR="00EA1A8D">
        <w:rPr>
          <w:noProof/>
          <w:lang w:val="en-IE"/>
        </w:rPr>
        <w:t>a</w:t>
      </w:r>
      <w:r w:rsidRPr="00BF5829">
        <w:rPr>
          <w:noProof/>
          <w:lang w:val="en-IE"/>
        </w:rPr>
        <w:t xml:space="preserve">cquirer and the </w:t>
      </w:r>
      <w:r w:rsidR="007A3981">
        <w:rPr>
          <w:noProof/>
          <w:lang w:val="en-IE"/>
        </w:rPr>
        <w:t>target</w:t>
      </w:r>
      <w:r w:rsidRPr="00BF5829">
        <w:rPr>
          <w:noProof/>
          <w:lang w:val="en-IE"/>
        </w:rPr>
        <w:t>, includ</w:t>
      </w:r>
      <w:r w:rsidR="000810BD">
        <w:rPr>
          <w:noProof/>
          <w:lang w:val="en-IE"/>
        </w:rPr>
        <w:t>ing</w:t>
      </w:r>
      <w:r w:rsidRPr="00BF5829">
        <w:rPr>
          <w:noProof/>
          <w:lang w:val="en-IE"/>
        </w:rPr>
        <w:t xml:space="preserve"> an unlimited guarantee to ADNOC, and a capital increase to Covestro.</w:t>
      </w:r>
      <w:r w:rsidR="000810BD">
        <w:rPr>
          <w:noProof/>
          <w:lang w:val="en-IE"/>
        </w:rPr>
        <w:t xml:space="preserve"> </w:t>
      </w:r>
      <w:r w:rsidRPr="00BF5829">
        <w:rPr>
          <w:noProof/>
          <w:lang w:val="en-IE"/>
        </w:rPr>
        <w:t xml:space="preserve">This was found to lead to distortion both in the acquisition process and </w:t>
      </w:r>
      <w:r w:rsidR="000810BD">
        <w:rPr>
          <w:noProof/>
          <w:lang w:val="en-IE"/>
        </w:rPr>
        <w:t xml:space="preserve">in the activities of the merged entity </w:t>
      </w:r>
      <w:r w:rsidRPr="00BF5829">
        <w:rPr>
          <w:noProof/>
          <w:lang w:val="en-IE"/>
        </w:rPr>
        <w:t>post-acquisition.</w:t>
      </w:r>
    </w:p>
    <w:p w14:paraId="6980A4FE" w14:textId="2D2EEE07" w:rsidR="00BF5829" w:rsidRDefault="000810BD" w:rsidP="004A1922">
      <w:pPr>
        <w:rPr>
          <w:noProof/>
          <w:lang w:val="en-IE"/>
        </w:rPr>
      </w:pPr>
      <w:r>
        <w:rPr>
          <w:noProof/>
          <w:lang w:val="en-IE"/>
        </w:rPr>
        <w:t>In order to address the distortions</w:t>
      </w:r>
      <w:r w:rsidR="001818E9">
        <w:rPr>
          <w:noProof/>
          <w:lang w:val="en-IE"/>
        </w:rPr>
        <w:t xml:space="preserve"> detected</w:t>
      </w:r>
      <w:r>
        <w:rPr>
          <w:noProof/>
          <w:lang w:val="en-IE"/>
        </w:rPr>
        <w:t xml:space="preserve">, the Commission accepted </w:t>
      </w:r>
      <w:r w:rsidR="00BF5829" w:rsidRPr="00BF5829">
        <w:rPr>
          <w:noProof/>
          <w:lang w:val="en-IE"/>
        </w:rPr>
        <w:t xml:space="preserve">commitments </w:t>
      </w:r>
      <w:r>
        <w:rPr>
          <w:noProof/>
          <w:lang w:val="en-IE"/>
        </w:rPr>
        <w:t>proposed by the notifying part</w:t>
      </w:r>
      <w:r w:rsidR="00EA1A8D">
        <w:rPr>
          <w:noProof/>
          <w:lang w:val="en-IE"/>
        </w:rPr>
        <w:t>y</w:t>
      </w:r>
      <w:r>
        <w:rPr>
          <w:noProof/>
          <w:lang w:val="en-IE"/>
        </w:rPr>
        <w:t xml:space="preserve">, which </w:t>
      </w:r>
      <w:r w:rsidR="00BF5829" w:rsidRPr="00BF5829">
        <w:rPr>
          <w:noProof/>
          <w:lang w:val="en-IE"/>
        </w:rPr>
        <w:t xml:space="preserve">involved </w:t>
      </w:r>
      <w:r w:rsidR="00765A31">
        <w:rPr>
          <w:noProof/>
          <w:lang w:val="en-IE"/>
        </w:rPr>
        <w:t>(</w:t>
      </w:r>
      <w:r w:rsidR="00BA2B52">
        <w:rPr>
          <w:noProof/>
          <w:lang w:val="en-IE"/>
        </w:rPr>
        <w:t>i</w:t>
      </w:r>
      <w:r w:rsidR="00765A31">
        <w:rPr>
          <w:noProof/>
          <w:lang w:val="en-IE"/>
        </w:rPr>
        <w:t>) </w:t>
      </w:r>
      <w:r w:rsidR="00BF5829" w:rsidRPr="00BF5829">
        <w:rPr>
          <w:noProof/>
          <w:lang w:val="en-IE"/>
        </w:rPr>
        <w:t>a change of Articles of Association for ADNOC so that they do not deviate from ordinary UAE bankruptcy law, thereby removing the unlimited State guarantee</w:t>
      </w:r>
      <w:r w:rsidR="00EA1A8D">
        <w:rPr>
          <w:noProof/>
          <w:lang w:val="en-IE"/>
        </w:rPr>
        <w:t>,</w:t>
      </w:r>
      <w:r w:rsidR="00BF5829" w:rsidRPr="00BF5829">
        <w:rPr>
          <w:noProof/>
          <w:lang w:val="en-IE"/>
        </w:rPr>
        <w:t xml:space="preserve"> and </w:t>
      </w:r>
      <w:r w:rsidR="00765A31">
        <w:rPr>
          <w:noProof/>
          <w:lang w:val="en-IE"/>
        </w:rPr>
        <w:t>(</w:t>
      </w:r>
      <w:r w:rsidR="00BA2B52">
        <w:rPr>
          <w:noProof/>
          <w:lang w:val="en-IE"/>
        </w:rPr>
        <w:t>ii</w:t>
      </w:r>
      <w:r w:rsidR="00765A31">
        <w:rPr>
          <w:noProof/>
          <w:lang w:val="en-IE"/>
        </w:rPr>
        <w:t>) </w:t>
      </w:r>
      <w:r w:rsidR="00BF5829" w:rsidRPr="00BF5829">
        <w:rPr>
          <w:noProof/>
          <w:lang w:val="en-IE"/>
        </w:rPr>
        <w:t xml:space="preserve">the obligation to </w:t>
      </w:r>
      <w:r w:rsidR="00EA1A8D">
        <w:rPr>
          <w:noProof/>
          <w:lang w:val="en-IE"/>
        </w:rPr>
        <w:t>licence</w:t>
      </w:r>
      <w:r w:rsidR="00BF5829" w:rsidRPr="00BF5829">
        <w:rPr>
          <w:noProof/>
          <w:lang w:val="en-IE"/>
        </w:rPr>
        <w:t xml:space="preserve"> certain of Covestro’s patents with market participants.</w:t>
      </w:r>
    </w:p>
    <w:p w14:paraId="6489B80E" w14:textId="7C6E435A" w:rsidR="00FF144E" w:rsidRDefault="00FF144E" w:rsidP="004A1922">
      <w:pPr>
        <w:rPr>
          <w:noProof/>
          <w:lang w:val="en-IE"/>
        </w:rPr>
      </w:pPr>
      <w:r>
        <w:rPr>
          <w:noProof/>
          <w:lang w:val="en-IE"/>
        </w:rPr>
        <w:t>A provisional non-confidential version of the decision with commitments is published on DG COMP website</w:t>
      </w:r>
      <w:r w:rsidR="001241C4" w:rsidRPr="001241C4">
        <w:rPr>
          <w:noProof/>
          <w:lang w:val="en-IE"/>
        </w:rPr>
        <w:t> (</w:t>
      </w:r>
      <w:r w:rsidR="001241C4">
        <w:rPr>
          <w:rStyle w:val="FootnoteReference"/>
          <w:noProof/>
          <w:lang w:val="en-IE"/>
        </w:rPr>
        <w:footnoteReference w:id="49"/>
      </w:r>
      <w:r w:rsidR="001241C4">
        <w:rPr>
          <w:noProof/>
          <w:lang w:val="en-IE"/>
        </w:rPr>
        <w:t>)</w:t>
      </w:r>
      <w:r w:rsidR="006971DF">
        <w:rPr>
          <w:noProof/>
          <w:lang w:val="en-IE"/>
        </w:rPr>
        <w:t>.</w:t>
      </w:r>
    </w:p>
    <w:p w14:paraId="63803572" w14:textId="49C1E0A3" w:rsidR="00925D44" w:rsidRPr="008441D0" w:rsidRDefault="008441D0" w:rsidP="006041B3">
      <w:pPr>
        <w:pStyle w:val="ContNumLevel2"/>
        <w:keepNext/>
        <w:rPr>
          <w:noProof/>
          <w:lang w:val="en-IE"/>
        </w:rPr>
      </w:pPr>
      <w:r w:rsidRPr="005F1BD2">
        <w:rPr>
          <w:noProof/>
          <w:lang w:val="en-IE"/>
        </w:rPr>
        <w:t xml:space="preserve">Case </w:t>
      </w:r>
      <w:r w:rsidR="00925D44" w:rsidRPr="005F1BD2">
        <w:rPr>
          <w:noProof/>
          <w:lang w:val="en-IE"/>
        </w:rPr>
        <w:t>FS.100253 – JD.COM / CECONOMY</w:t>
      </w:r>
    </w:p>
    <w:p w14:paraId="3CB8F9AA" w14:textId="77777777" w:rsidR="00925D44" w:rsidRDefault="00925D44" w:rsidP="00925D44">
      <w:pPr>
        <w:rPr>
          <w:noProof/>
          <w:lang w:val="en-IE"/>
        </w:rPr>
      </w:pPr>
      <w:r>
        <w:rPr>
          <w:noProof/>
          <w:lang w:val="en-IE"/>
        </w:rPr>
        <w:t xml:space="preserve">This case involves the acquisition of CECONOMY AG, a German retailer specialised in the field of consumer electronics and home appliances, by JD.com, a company that belongs to a China-based group operating a retail business and an online e-commerce marketplace in China. </w:t>
      </w:r>
    </w:p>
    <w:p w14:paraId="58543273" w14:textId="5E9A934F" w:rsidR="00925D44" w:rsidRDefault="00925D44" w:rsidP="00925D44">
      <w:pPr>
        <w:rPr>
          <w:noProof/>
          <w:lang w:val="en-IE"/>
        </w:rPr>
      </w:pPr>
      <w:r>
        <w:rPr>
          <w:noProof/>
          <w:lang w:val="en-IE"/>
        </w:rPr>
        <w:t xml:space="preserve">On </w:t>
      </w:r>
      <w:r w:rsidR="00F04C23" w:rsidRPr="005F1BD2">
        <w:rPr>
          <w:noProof/>
          <w:lang w:val="en-IE"/>
        </w:rPr>
        <w:t>28 May 2026</w:t>
      </w:r>
      <w:r w:rsidRPr="00006AC7">
        <w:rPr>
          <w:noProof/>
          <w:lang w:val="en-IE"/>
        </w:rPr>
        <w:t>,</w:t>
      </w:r>
      <w:r>
        <w:rPr>
          <w:noProof/>
          <w:lang w:val="en-IE"/>
        </w:rPr>
        <w:t xml:space="preserve"> the Commission opened in-depth investigation </w:t>
      </w:r>
      <w:r w:rsidR="008441D0">
        <w:rPr>
          <w:noProof/>
          <w:lang w:val="en-IE"/>
        </w:rPr>
        <w:t>into</w:t>
      </w:r>
      <w:r>
        <w:rPr>
          <w:noProof/>
          <w:lang w:val="en-IE"/>
        </w:rPr>
        <w:t xml:space="preserve"> the transaction. In the preliminary </w:t>
      </w:r>
      <w:r w:rsidR="00F04C23">
        <w:rPr>
          <w:noProof/>
          <w:lang w:val="en-IE"/>
        </w:rPr>
        <w:t>review phase,</w:t>
      </w:r>
      <w:r>
        <w:rPr>
          <w:noProof/>
          <w:lang w:val="en-IE"/>
        </w:rPr>
        <w:t xml:space="preserve"> the Commission found indications of foreign subsidies distorting the EU internal market. </w:t>
      </w:r>
      <w:r w:rsidRPr="00596EFF">
        <w:rPr>
          <w:noProof/>
          <w:lang w:val="en-IE"/>
        </w:rPr>
        <w:t>These include preferential financing, tax incentives and grants provided by entities</w:t>
      </w:r>
      <w:r>
        <w:rPr>
          <w:noProof/>
          <w:lang w:val="en-IE"/>
        </w:rPr>
        <w:t xml:space="preserve"> whose actions are</w:t>
      </w:r>
      <w:r w:rsidRPr="00596EFF">
        <w:rPr>
          <w:noProof/>
          <w:lang w:val="en-IE"/>
        </w:rPr>
        <w:t xml:space="preserve"> possibly attributable to </w:t>
      </w:r>
      <w:r>
        <w:rPr>
          <w:noProof/>
          <w:lang w:val="en-IE"/>
        </w:rPr>
        <w:t>the People’s Republic of China</w:t>
      </w:r>
      <w:r w:rsidRPr="00596EFF">
        <w:rPr>
          <w:noProof/>
          <w:lang w:val="en-IE"/>
        </w:rPr>
        <w:t xml:space="preserve">. </w:t>
      </w:r>
    </w:p>
    <w:p w14:paraId="02EBAC67" w14:textId="5C10ADE1" w:rsidR="00925D44" w:rsidRPr="00BF5829" w:rsidRDefault="00765A31" w:rsidP="00925D44">
      <w:pPr>
        <w:rPr>
          <w:noProof/>
          <w:lang w:val="en-IE"/>
        </w:rPr>
      </w:pPr>
      <w:r>
        <w:rPr>
          <w:noProof/>
          <w:lang w:val="en-IE"/>
        </w:rPr>
        <w:t>At time of publication, t</w:t>
      </w:r>
      <w:r w:rsidR="00925D44">
        <w:rPr>
          <w:noProof/>
          <w:lang w:val="en-IE"/>
        </w:rPr>
        <w:t xml:space="preserve">he in-depth investigation </w:t>
      </w:r>
      <w:r>
        <w:rPr>
          <w:noProof/>
          <w:lang w:val="en-IE"/>
        </w:rPr>
        <w:t>wa</w:t>
      </w:r>
      <w:r w:rsidR="00925D44">
        <w:rPr>
          <w:noProof/>
          <w:lang w:val="en-IE"/>
        </w:rPr>
        <w:t>s ongoing.</w:t>
      </w:r>
      <w:r w:rsidR="00925D44" w:rsidRPr="00925D44">
        <w:rPr>
          <w:noProof/>
          <w:lang w:val="en-IE"/>
        </w:rPr>
        <w:t xml:space="preserve"> In accordance with Article</w:t>
      </w:r>
      <w:r>
        <w:rPr>
          <w:noProof/>
          <w:lang w:val="en-IE"/>
        </w:rPr>
        <w:t> </w:t>
      </w:r>
      <w:r w:rsidR="00F04C23">
        <w:rPr>
          <w:noProof/>
          <w:lang w:val="en-IE"/>
        </w:rPr>
        <w:t xml:space="preserve">25(3) </w:t>
      </w:r>
      <w:r w:rsidR="00925D44" w:rsidRPr="00925D44">
        <w:rPr>
          <w:noProof/>
          <w:lang w:val="en-IE"/>
        </w:rPr>
        <w:t xml:space="preserve">FSR, at the end of its in-depth investigation </w:t>
      </w:r>
      <w:r w:rsidR="00925D44">
        <w:rPr>
          <w:noProof/>
          <w:lang w:val="en-IE"/>
        </w:rPr>
        <w:t xml:space="preserve">of a concentration case, </w:t>
      </w:r>
      <w:r w:rsidR="00925D44" w:rsidRPr="00925D44">
        <w:rPr>
          <w:noProof/>
          <w:lang w:val="en-IE"/>
        </w:rPr>
        <w:t>the Commission may (i)</w:t>
      </w:r>
      <w:r>
        <w:rPr>
          <w:noProof/>
          <w:lang w:val="en-IE"/>
        </w:rPr>
        <w:t> </w:t>
      </w:r>
      <w:r w:rsidR="00925D44" w:rsidRPr="00925D44">
        <w:rPr>
          <w:noProof/>
          <w:lang w:val="en-IE"/>
        </w:rPr>
        <w:t>accept commitments proposed by the undertaking under investigation if they fully and effectively remedy the distortion, (ii)</w:t>
      </w:r>
      <w:r>
        <w:rPr>
          <w:noProof/>
          <w:lang w:val="en-IE"/>
        </w:rPr>
        <w:t> </w:t>
      </w:r>
      <w:r w:rsidR="00F04C23">
        <w:rPr>
          <w:noProof/>
          <w:lang w:val="en-IE"/>
        </w:rPr>
        <w:t>prohibit the concentration</w:t>
      </w:r>
      <w:r w:rsidR="00925D44" w:rsidRPr="00925D44">
        <w:rPr>
          <w:noProof/>
          <w:lang w:val="en-IE"/>
        </w:rPr>
        <w:t>, or (iii)</w:t>
      </w:r>
      <w:r>
        <w:rPr>
          <w:noProof/>
          <w:lang w:val="en-IE"/>
        </w:rPr>
        <w:t> </w:t>
      </w:r>
      <w:r w:rsidR="00925D44" w:rsidRPr="00925D44">
        <w:rPr>
          <w:noProof/>
          <w:lang w:val="en-IE"/>
        </w:rPr>
        <w:t>issue a no objection decision</w:t>
      </w:r>
      <w:r w:rsidR="00F04C23">
        <w:rPr>
          <w:noProof/>
          <w:lang w:val="en-IE"/>
        </w:rPr>
        <w:t>.</w:t>
      </w:r>
    </w:p>
    <w:p w14:paraId="346184A7" w14:textId="325552F2" w:rsidR="00E245E5" w:rsidRPr="00AA261D" w:rsidRDefault="00E245E5" w:rsidP="00807C9E">
      <w:pPr>
        <w:pStyle w:val="Heading4"/>
        <w:rPr>
          <w:noProof/>
          <w:lang w:val="en-IE"/>
        </w:rPr>
      </w:pPr>
      <w:bookmarkStart w:id="72" w:name="_Ref227154301"/>
      <w:bookmarkStart w:id="73" w:name="_Toc234227870"/>
      <w:r w:rsidRPr="00AA261D">
        <w:rPr>
          <w:noProof/>
          <w:lang w:val="en-IE"/>
        </w:rPr>
        <w:t xml:space="preserve">Detailed </w:t>
      </w:r>
      <w:r w:rsidR="000D5433" w:rsidRPr="00807C9E">
        <w:rPr>
          <w:noProof/>
        </w:rPr>
        <w:t>analysis</w:t>
      </w:r>
      <w:r w:rsidR="000D5433" w:rsidRPr="00AA261D">
        <w:rPr>
          <w:noProof/>
          <w:lang w:val="en-IE"/>
        </w:rPr>
        <w:t xml:space="preserve"> of Commission practice</w:t>
      </w:r>
      <w:bookmarkEnd w:id="72"/>
      <w:bookmarkEnd w:id="73"/>
    </w:p>
    <w:p w14:paraId="02618710" w14:textId="242D6BAC" w:rsidR="00E245E5" w:rsidRDefault="00FF144E" w:rsidP="004A1922">
      <w:pPr>
        <w:rPr>
          <w:noProof/>
        </w:rPr>
      </w:pPr>
      <w:r>
        <w:rPr>
          <w:noProof/>
        </w:rPr>
        <w:t>Th</w:t>
      </w:r>
      <w:r w:rsidR="00452E1A">
        <w:rPr>
          <w:noProof/>
        </w:rPr>
        <w:t>is</w:t>
      </w:r>
      <w:r>
        <w:rPr>
          <w:noProof/>
        </w:rPr>
        <w:t xml:space="preserve"> section presents statistical data compiled as part of the </w:t>
      </w:r>
      <w:r w:rsidR="003018E1" w:rsidRPr="003018E1">
        <w:rPr>
          <w:noProof/>
        </w:rPr>
        <w:t xml:space="preserve">internal </w:t>
      </w:r>
      <w:r w:rsidR="003018E1">
        <w:rPr>
          <w:noProof/>
        </w:rPr>
        <w:t xml:space="preserve">data </w:t>
      </w:r>
      <w:r w:rsidDel="003018E1">
        <w:rPr>
          <w:noProof/>
        </w:rPr>
        <w:t xml:space="preserve">analysis </w:t>
      </w:r>
      <w:r>
        <w:rPr>
          <w:noProof/>
        </w:rPr>
        <w:t xml:space="preserve">for the purposes of the Report. </w:t>
      </w:r>
      <w:r w:rsidR="00E245E5">
        <w:rPr>
          <w:noProof/>
        </w:rPr>
        <w:t xml:space="preserve">The data analysed for </w:t>
      </w:r>
      <w:r>
        <w:rPr>
          <w:noProof/>
        </w:rPr>
        <w:t>concentration cases</w:t>
      </w:r>
      <w:r w:rsidR="00E245E5">
        <w:rPr>
          <w:noProof/>
        </w:rPr>
        <w:t xml:space="preserve"> was focussed on cases</w:t>
      </w:r>
      <w:r>
        <w:rPr>
          <w:noProof/>
        </w:rPr>
        <w:t xml:space="preserve"> notified</w:t>
      </w:r>
      <w:r w:rsidR="00E536C5">
        <w:rPr>
          <w:noProof/>
        </w:rPr>
        <w:t xml:space="preserve"> </w:t>
      </w:r>
      <w:r w:rsidR="00E245E5">
        <w:rPr>
          <w:noProof/>
        </w:rPr>
        <w:t xml:space="preserve">between October 2023 </w:t>
      </w:r>
      <w:r>
        <w:rPr>
          <w:noProof/>
        </w:rPr>
        <w:t>and</w:t>
      </w:r>
      <w:r w:rsidR="00E245E5">
        <w:rPr>
          <w:noProof/>
        </w:rPr>
        <w:t xml:space="preserve"> January 2026</w:t>
      </w:r>
      <w:r w:rsidR="00E245E5" w:rsidRPr="00E245E5">
        <w:rPr>
          <w:noProof/>
        </w:rPr>
        <w:t> (</w:t>
      </w:r>
      <w:r w:rsidR="00E245E5">
        <w:rPr>
          <w:rStyle w:val="FootnoteReference"/>
          <w:noProof/>
        </w:rPr>
        <w:footnoteReference w:id="50"/>
      </w:r>
      <w:r w:rsidR="00E245E5">
        <w:rPr>
          <w:noProof/>
        </w:rPr>
        <w:t>)</w:t>
      </w:r>
      <w:r w:rsidR="00452E1A">
        <w:rPr>
          <w:noProof/>
        </w:rPr>
        <w:t xml:space="preserve"> and summarises data on </w:t>
      </w:r>
      <w:r w:rsidR="007C44E7">
        <w:rPr>
          <w:noProof/>
        </w:rPr>
        <w:t>(</w:t>
      </w:r>
      <w:r w:rsidR="00452E1A" w:rsidRPr="00452E1A">
        <w:rPr>
          <w:noProof/>
        </w:rPr>
        <w:t>i</w:t>
      </w:r>
      <w:r w:rsidR="00463397" w:rsidRPr="00452E1A">
        <w:rPr>
          <w:noProof/>
        </w:rPr>
        <w:t>)</w:t>
      </w:r>
      <w:r w:rsidR="00463397">
        <w:rPr>
          <w:noProof/>
        </w:rPr>
        <w:t> </w:t>
      </w:r>
      <w:r w:rsidR="00452E1A" w:rsidRPr="00452E1A">
        <w:rPr>
          <w:noProof/>
        </w:rPr>
        <w:t xml:space="preserve">characteristics of the notifying parties; </w:t>
      </w:r>
      <w:r w:rsidR="007C44E7">
        <w:rPr>
          <w:noProof/>
        </w:rPr>
        <w:t>(</w:t>
      </w:r>
      <w:r w:rsidR="00452E1A" w:rsidRPr="00452E1A">
        <w:rPr>
          <w:noProof/>
        </w:rPr>
        <w:t>ii</w:t>
      </w:r>
      <w:r w:rsidR="00463397" w:rsidRPr="00452E1A">
        <w:rPr>
          <w:noProof/>
        </w:rPr>
        <w:t>)</w:t>
      </w:r>
      <w:r w:rsidR="00463397">
        <w:rPr>
          <w:noProof/>
        </w:rPr>
        <w:t> </w:t>
      </w:r>
      <w:r w:rsidR="00452E1A" w:rsidRPr="00452E1A">
        <w:rPr>
          <w:noProof/>
        </w:rPr>
        <w:t xml:space="preserve">the amount and type of reported FFCs; </w:t>
      </w:r>
      <w:r w:rsidR="007C44E7">
        <w:rPr>
          <w:noProof/>
        </w:rPr>
        <w:t>(</w:t>
      </w:r>
      <w:r w:rsidR="00452E1A" w:rsidRPr="00452E1A">
        <w:rPr>
          <w:noProof/>
        </w:rPr>
        <w:t>iii</w:t>
      </w:r>
      <w:r w:rsidR="00463397" w:rsidRPr="00452E1A">
        <w:rPr>
          <w:noProof/>
        </w:rPr>
        <w:t>)</w:t>
      </w:r>
      <w:r w:rsidR="00463397">
        <w:rPr>
          <w:noProof/>
        </w:rPr>
        <w:t> </w:t>
      </w:r>
      <w:r w:rsidR="00366848" w:rsidRPr="00452E1A">
        <w:rPr>
          <w:noProof/>
        </w:rPr>
        <w:t>the economic activities of the parties to the concentration (identified by NACE codes)</w:t>
      </w:r>
      <w:r w:rsidR="00452E1A" w:rsidRPr="00452E1A">
        <w:rPr>
          <w:noProof/>
        </w:rPr>
        <w:t xml:space="preserve">; </w:t>
      </w:r>
      <w:r w:rsidR="007C44E7">
        <w:rPr>
          <w:noProof/>
        </w:rPr>
        <w:t>(</w:t>
      </w:r>
      <w:r w:rsidR="00452E1A" w:rsidRPr="00452E1A">
        <w:rPr>
          <w:noProof/>
        </w:rPr>
        <w:t>iv</w:t>
      </w:r>
      <w:r w:rsidR="00463397" w:rsidRPr="00452E1A">
        <w:rPr>
          <w:noProof/>
        </w:rPr>
        <w:t>)</w:t>
      </w:r>
      <w:r w:rsidR="00463397">
        <w:rPr>
          <w:noProof/>
        </w:rPr>
        <w:t> </w:t>
      </w:r>
      <w:r w:rsidR="00452E1A" w:rsidRPr="00452E1A">
        <w:rPr>
          <w:noProof/>
        </w:rPr>
        <w:t xml:space="preserve">the reported EU turnover of the </w:t>
      </w:r>
      <w:r w:rsidR="00853091">
        <w:rPr>
          <w:noProof/>
        </w:rPr>
        <w:t>t</w:t>
      </w:r>
      <w:r w:rsidR="007A3981">
        <w:rPr>
          <w:noProof/>
        </w:rPr>
        <w:t>arget</w:t>
      </w:r>
      <w:r w:rsidR="00463397">
        <w:rPr>
          <w:noProof/>
        </w:rPr>
        <w:t>;</w:t>
      </w:r>
      <w:r w:rsidR="00383251">
        <w:rPr>
          <w:noProof/>
        </w:rPr>
        <w:t xml:space="preserve"> </w:t>
      </w:r>
      <w:r w:rsidR="007C44E7">
        <w:rPr>
          <w:noProof/>
        </w:rPr>
        <w:t>(</w:t>
      </w:r>
      <w:r w:rsidR="00366848">
        <w:rPr>
          <w:noProof/>
        </w:rPr>
        <w:t>v</w:t>
      </w:r>
      <w:r w:rsidR="00463397">
        <w:rPr>
          <w:noProof/>
        </w:rPr>
        <w:t>) </w:t>
      </w:r>
      <w:r w:rsidR="00383251">
        <w:rPr>
          <w:noProof/>
        </w:rPr>
        <w:t xml:space="preserve">consideration </w:t>
      </w:r>
      <w:r w:rsidR="00100FB1">
        <w:rPr>
          <w:noProof/>
        </w:rPr>
        <w:t xml:space="preserve">paid </w:t>
      </w:r>
      <w:r w:rsidR="009B08B7">
        <w:rPr>
          <w:noProof/>
        </w:rPr>
        <w:t>for</w:t>
      </w:r>
      <w:r w:rsidR="00383251">
        <w:rPr>
          <w:noProof/>
        </w:rPr>
        <w:t xml:space="preserve"> the </w:t>
      </w:r>
      <w:r w:rsidR="00100FB1">
        <w:rPr>
          <w:noProof/>
        </w:rPr>
        <w:t>t</w:t>
      </w:r>
      <w:r w:rsidR="00383251">
        <w:rPr>
          <w:noProof/>
        </w:rPr>
        <w:t xml:space="preserve">ransaction; and </w:t>
      </w:r>
      <w:r w:rsidR="007C44E7">
        <w:rPr>
          <w:noProof/>
        </w:rPr>
        <w:t>(</w:t>
      </w:r>
      <w:r w:rsidR="00383251">
        <w:rPr>
          <w:noProof/>
        </w:rPr>
        <w:t>vi</w:t>
      </w:r>
      <w:r w:rsidR="00463397">
        <w:rPr>
          <w:noProof/>
        </w:rPr>
        <w:t>) </w:t>
      </w:r>
      <w:r w:rsidR="00366848">
        <w:rPr>
          <w:noProof/>
        </w:rPr>
        <w:t>experience with pre-notification discussions</w:t>
      </w:r>
      <w:r w:rsidR="00452E1A" w:rsidRPr="00452E1A">
        <w:rPr>
          <w:noProof/>
        </w:rPr>
        <w:t>.</w:t>
      </w:r>
    </w:p>
    <w:p w14:paraId="6A220BDD" w14:textId="50CA0CDC" w:rsidR="00EB4144" w:rsidRDefault="00EB4144" w:rsidP="004A1922">
      <w:pPr>
        <w:rPr>
          <w:noProof/>
        </w:rPr>
      </w:pPr>
      <w:r>
        <w:rPr>
          <w:noProof/>
        </w:rPr>
        <w:t>Some</w:t>
      </w:r>
      <w:r w:rsidRPr="00FA2090">
        <w:rPr>
          <w:noProof/>
        </w:rPr>
        <w:t xml:space="preserve"> statistical </w:t>
      </w:r>
      <w:r>
        <w:rPr>
          <w:noProof/>
        </w:rPr>
        <w:t>data</w:t>
      </w:r>
      <w:r w:rsidRPr="00FA2090">
        <w:rPr>
          <w:noProof/>
        </w:rPr>
        <w:t xml:space="preserve"> derived from</w:t>
      </w:r>
      <w:r>
        <w:rPr>
          <w:noProof/>
        </w:rPr>
        <w:t xml:space="preserve"> the FSR Review Study </w:t>
      </w:r>
      <w:r w:rsidR="00AE3002">
        <w:rPr>
          <w:noProof/>
        </w:rPr>
        <w:t xml:space="preserve">was </w:t>
      </w:r>
      <w:r w:rsidR="004E40BD">
        <w:rPr>
          <w:noProof/>
        </w:rPr>
        <w:t xml:space="preserve">also </w:t>
      </w:r>
      <w:r>
        <w:rPr>
          <w:noProof/>
        </w:rPr>
        <w:t>included in the analysis</w:t>
      </w:r>
      <w:r w:rsidRPr="00EB4144">
        <w:rPr>
          <w:noProof/>
        </w:rPr>
        <w:t> (</w:t>
      </w:r>
      <w:r>
        <w:rPr>
          <w:rStyle w:val="FootnoteReference"/>
          <w:noProof/>
        </w:rPr>
        <w:footnoteReference w:id="51"/>
      </w:r>
      <w:r>
        <w:rPr>
          <w:noProof/>
        </w:rPr>
        <w:t>)</w:t>
      </w:r>
      <w:r w:rsidR="006971DF">
        <w:rPr>
          <w:noProof/>
        </w:rPr>
        <w:t>.</w:t>
      </w:r>
      <w:r w:rsidRPr="00FA2090">
        <w:rPr>
          <w:noProof/>
        </w:rPr>
        <w:t xml:space="preserve"> These statistics are presented in comparison with the internal statistics </w:t>
      </w:r>
      <w:r w:rsidR="004E40BD">
        <w:rPr>
          <w:noProof/>
        </w:rPr>
        <w:t>of</w:t>
      </w:r>
      <w:r w:rsidRPr="00FA2090">
        <w:rPr>
          <w:noProof/>
        </w:rPr>
        <w:t xml:space="preserve"> the Commission. In instances where statistical data is available only from the FSR Review Study and not from the Commission</w:t>
      </w:r>
      <w:r w:rsidR="000B6F9B">
        <w:rPr>
          <w:noProof/>
        </w:rPr>
        <w:t>’s internal data analysis</w:t>
      </w:r>
      <w:r w:rsidRPr="00FA2090">
        <w:rPr>
          <w:noProof/>
        </w:rPr>
        <w:t>, such data is presented as novel evidence contributing to the overall assessment</w:t>
      </w:r>
      <w:r w:rsidRPr="00EB4144">
        <w:rPr>
          <w:noProof/>
        </w:rPr>
        <w:t> (</w:t>
      </w:r>
      <w:r>
        <w:rPr>
          <w:rStyle w:val="FootnoteReference"/>
          <w:noProof/>
        </w:rPr>
        <w:footnoteReference w:id="52"/>
      </w:r>
      <w:r>
        <w:rPr>
          <w:noProof/>
        </w:rPr>
        <w:t>)</w:t>
      </w:r>
      <w:r w:rsidR="006971DF">
        <w:rPr>
          <w:noProof/>
        </w:rPr>
        <w:t>.</w:t>
      </w:r>
    </w:p>
    <w:p w14:paraId="239BC8F2" w14:textId="663BC0F9" w:rsidR="00E245E5" w:rsidRPr="00914E99" w:rsidRDefault="00452E1A" w:rsidP="006041B3">
      <w:pPr>
        <w:pStyle w:val="ContNumLevel2"/>
        <w:keepNext/>
        <w:numPr>
          <w:ilvl w:val="1"/>
          <w:numId w:val="166"/>
        </w:numPr>
        <w:rPr>
          <w:noProof/>
          <w:lang w:val="en-IE"/>
        </w:rPr>
      </w:pPr>
      <w:r w:rsidRPr="00914E99">
        <w:rPr>
          <w:noProof/>
          <w:lang w:val="en-IE"/>
        </w:rPr>
        <w:t>Characteristics of notifying parties</w:t>
      </w:r>
    </w:p>
    <w:p w14:paraId="7AC37942" w14:textId="582E82A9" w:rsidR="00452E1A" w:rsidRDefault="00452E1A" w:rsidP="004A1922">
      <w:pPr>
        <w:rPr>
          <w:noProof/>
          <w:lang w:val="en-IE"/>
        </w:rPr>
      </w:pPr>
      <w:r>
        <w:rPr>
          <w:noProof/>
          <w:lang w:val="en-IE"/>
        </w:rPr>
        <w:t xml:space="preserve">The internal analysis of cases shows that </w:t>
      </w:r>
      <w:r w:rsidR="004E40BD">
        <w:rPr>
          <w:noProof/>
          <w:lang w:val="en-IE"/>
        </w:rPr>
        <w:t>32</w:t>
      </w:r>
      <w:r>
        <w:rPr>
          <w:noProof/>
          <w:lang w:val="en-IE"/>
        </w:rPr>
        <w:t xml:space="preserve">% of all notified cases, which were closed after the </w:t>
      </w:r>
      <w:r w:rsidR="00A354B0">
        <w:rPr>
          <w:noProof/>
          <w:lang w:val="en-IE"/>
        </w:rPr>
        <w:t>p</w:t>
      </w:r>
      <w:r>
        <w:rPr>
          <w:noProof/>
          <w:lang w:val="en-IE"/>
        </w:rPr>
        <w:t xml:space="preserve">reliminary </w:t>
      </w:r>
      <w:r w:rsidR="00A354B0">
        <w:rPr>
          <w:noProof/>
          <w:lang w:val="en-IE"/>
        </w:rPr>
        <w:t>r</w:t>
      </w:r>
      <w:r>
        <w:rPr>
          <w:noProof/>
          <w:lang w:val="en-IE"/>
        </w:rPr>
        <w:t>eview phase of investigation</w:t>
      </w:r>
      <w:r w:rsidR="009C7261">
        <w:rPr>
          <w:noProof/>
          <w:lang w:val="en-IE"/>
        </w:rPr>
        <w:t>,</w:t>
      </w:r>
      <w:r>
        <w:rPr>
          <w:noProof/>
          <w:lang w:val="en-IE"/>
        </w:rPr>
        <w:t xml:space="preserve"> in</w:t>
      </w:r>
      <w:r w:rsidR="00A354B0">
        <w:rPr>
          <w:noProof/>
          <w:lang w:val="en-IE"/>
        </w:rPr>
        <w:t>volv</w:t>
      </w:r>
      <w:r>
        <w:rPr>
          <w:noProof/>
          <w:lang w:val="en-IE"/>
        </w:rPr>
        <w:t>ed an investment fund</w:t>
      </w:r>
      <w:r w:rsidR="00463397">
        <w:rPr>
          <w:noProof/>
          <w:lang w:val="en-IE"/>
        </w:rPr>
        <w:t> </w:t>
      </w:r>
      <w:r>
        <w:rPr>
          <w:noProof/>
          <w:lang w:val="en-IE"/>
        </w:rPr>
        <w:t>/</w:t>
      </w:r>
      <w:r w:rsidR="00463397">
        <w:rPr>
          <w:noProof/>
          <w:lang w:val="en-IE"/>
        </w:rPr>
        <w:t xml:space="preserve"> </w:t>
      </w:r>
      <w:r>
        <w:rPr>
          <w:noProof/>
          <w:lang w:val="en-IE"/>
        </w:rPr>
        <w:t>private equity fund as an acquirer.</w:t>
      </w:r>
      <w:r w:rsidR="001250CA">
        <w:rPr>
          <w:noProof/>
          <w:lang w:val="en-IE"/>
        </w:rPr>
        <w:t xml:space="preserve"> </w:t>
      </w:r>
      <w:r w:rsidR="00AF0185" w:rsidRPr="00AF0185">
        <w:rPr>
          <w:noProof/>
        </w:rPr>
        <w:t xml:space="preserve">This figure is </w:t>
      </w:r>
      <w:r w:rsidR="009D603E">
        <w:rPr>
          <w:noProof/>
        </w:rPr>
        <w:t>overall</w:t>
      </w:r>
      <w:r w:rsidR="009D603E" w:rsidRPr="00AF0185">
        <w:rPr>
          <w:noProof/>
        </w:rPr>
        <w:t xml:space="preserve"> </w:t>
      </w:r>
      <w:r w:rsidR="00AF0185" w:rsidRPr="00AF0185">
        <w:rPr>
          <w:noProof/>
        </w:rPr>
        <w:t xml:space="preserve">consistent with the findings of the FSR Review Study, where the corresponding proportion was higher at 43%. </w:t>
      </w:r>
      <w:r w:rsidR="00AF0185">
        <w:rPr>
          <w:noProof/>
        </w:rPr>
        <w:t>This</w:t>
      </w:r>
      <w:r w:rsidR="00AF0185" w:rsidRPr="00AF0185">
        <w:rPr>
          <w:noProof/>
        </w:rPr>
        <w:t xml:space="preserve"> difference can be explained by the use of different samples underlying the respective analyses</w:t>
      </w:r>
      <w:r w:rsidR="002F1BB5" w:rsidRPr="002F1BB5">
        <w:rPr>
          <w:noProof/>
          <w:lang w:val="en-IE"/>
        </w:rPr>
        <w:t> (</w:t>
      </w:r>
      <w:r w:rsidR="002F1BB5">
        <w:rPr>
          <w:rStyle w:val="FootnoteReference"/>
          <w:noProof/>
          <w:lang w:val="en-IE"/>
        </w:rPr>
        <w:footnoteReference w:id="53"/>
      </w:r>
      <w:r w:rsidR="002F1BB5">
        <w:rPr>
          <w:noProof/>
          <w:lang w:val="en-IE"/>
        </w:rPr>
        <w:t>)</w:t>
      </w:r>
      <w:r w:rsidR="006971DF">
        <w:rPr>
          <w:noProof/>
          <w:lang w:val="en-IE"/>
        </w:rPr>
        <w:t>.</w:t>
      </w:r>
      <w:r w:rsidR="00AF0185">
        <w:rPr>
          <w:noProof/>
          <w:lang w:val="en-IE"/>
        </w:rPr>
        <w:t xml:space="preserve"> </w:t>
      </w:r>
    </w:p>
    <w:p w14:paraId="3033F369" w14:textId="2C67140B" w:rsidR="001250CA" w:rsidRDefault="001250CA" w:rsidP="004A1922">
      <w:pPr>
        <w:rPr>
          <w:noProof/>
          <w:lang w:val="en-IE"/>
        </w:rPr>
      </w:pPr>
      <w:r>
        <w:rPr>
          <w:noProof/>
          <w:lang w:val="en-IE"/>
        </w:rPr>
        <w:t xml:space="preserve">In addition, </w:t>
      </w:r>
      <w:r w:rsidR="000B6F9B" w:rsidRPr="0038793C">
        <w:rPr>
          <w:noProof/>
        </w:rPr>
        <w:fldChar w:fldCharType="begin"/>
      </w:r>
      <w:r w:rsidR="000B6F9B">
        <w:rPr>
          <w:noProof/>
          <w:lang w:val="en-IE"/>
        </w:rPr>
        <w:instrText xml:space="preserve"> REF _Ref227187249 \h </w:instrText>
      </w:r>
      <w:r w:rsidR="00807C9E">
        <w:rPr>
          <w:noProof/>
          <w:lang w:val="en-IE"/>
        </w:rPr>
        <w:instrText xml:space="preserve"> \* MERGEFORMAT </w:instrText>
      </w:r>
      <w:r w:rsidR="000B6F9B" w:rsidRPr="0038793C">
        <w:rPr>
          <w:noProof/>
        </w:rPr>
      </w:r>
      <w:r w:rsidR="000B6F9B" w:rsidRPr="0038793C">
        <w:rPr>
          <w:noProof/>
          <w:lang w:val="en-IE"/>
        </w:rPr>
        <w:fldChar w:fldCharType="separate"/>
      </w:r>
      <w:r w:rsidR="00227418" w:rsidRPr="00AB62FA">
        <w:rPr>
          <w:noProof/>
        </w:rPr>
        <w:t xml:space="preserve">Table </w:t>
      </w:r>
      <w:r w:rsidR="00227418">
        <w:rPr>
          <w:noProof/>
        </w:rPr>
        <w:t>1</w:t>
      </w:r>
      <w:r w:rsidR="000B6F9B" w:rsidRPr="0038793C">
        <w:rPr>
          <w:noProof/>
        </w:rPr>
        <w:fldChar w:fldCharType="end"/>
      </w:r>
      <w:r w:rsidR="00A354B0">
        <w:rPr>
          <w:noProof/>
          <w:lang w:val="en-IE"/>
        </w:rPr>
        <w:t xml:space="preserve"> below provides information on the</w:t>
      </w:r>
      <w:r>
        <w:rPr>
          <w:noProof/>
          <w:lang w:val="en-IE"/>
        </w:rPr>
        <w:t xml:space="preserve"> distribution of cases, based on the </w:t>
      </w:r>
      <w:r w:rsidR="002127B0">
        <w:rPr>
          <w:noProof/>
        </w:rPr>
        <w:t>reported country of incorporation</w:t>
      </w:r>
      <w:r w:rsidR="009C6D3E" w:rsidRPr="009C6D3E">
        <w:rPr>
          <w:noProof/>
        </w:rPr>
        <w:t xml:space="preserve"> of the parties</w:t>
      </w:r>
      <w:r w:rsidR="00E536C5">
        <w:rPr>
          <w:noProof/>
        </w:rPr>
        <w:t xml:space="preserve"> </w:t>
      </w:r>
      <w:r w:rsidR="009C6D3E" w:rsidRPr="009C6D3E">
        <w:rPr>
          <w:noProof/>
        </w:rPr>
        <w:t>involved in the transactions</w:t>
      </w:r>
      <w:r>
        <w:rPr>
          <w:noProof/>
          <w:lang w:val="en-IE"/>
        </w:rPr>
        <w:t>:</w:t>
      </w:r>
    </w:p>
    <w:p w14:paraId="09C494AE" w14:textId="549D5116" w:rsidR="00AB62FA" w:rsidRDefault="00AB62FA" w:rsidP="005F1BD2">
      <w:pPr>
        <w:pStyle w:val="Caption"/>
        <w:keepLines/>
        <w:rPr>
          <w:noProof/>
        </w:rPr>
      </w:pPr>
      <w:bookmarkStart w:id="74" w:name="_Ref227187249"/>
      <w:bookmarkStart w:id="75" w:name="_Ref229988827"/>
      <w:bookmarkStart w:id="76" w:name="_Toc227161645"/>
      <w:bookmarkStart w:id="77" w:name="_Toc227161810"/>
      <w:r w:rsidRPr="00AB62FA">
        <w:rPr>
          <w:noProof/>
        </w:rPr>
        <w:t xml:space="preserve">Table </w:t>
      </w:r>
      <w:r w:rsidRPr="00AB62FA">
        <w:rPr>
          <w:noProof/>
        </w:rPr>
        <w:fldChar w:fldCharType="begin"/>
      </w:r>
      <w:r w:rsidRPr="00AB62FA">
        <w:rPr>
          <w:noProof/>
        </w:rPr>
        <w:instrText xml:space="preserve"> SEQ Table \* ARABIC </w:instrText>
      </w:r>
      <w:r w:rsidRPr="00AB62FA">
        <w:rPr>
          <w:noProof/>
        </w:rPr>
        <w:fldChar w:fldCharType="separate"/>
      </w:r>
      <w:r w:rsidR="00227418">
        <w:rPr>
          <w:noProof/>
        </w:rPr>
        <w:t>1</w:t>
      </w:r>
      <w:r w:rsidRPr="00AB62FA">
        <w:rPr>
          <w:noProof/>
        </w:rPr>
        <w:fldChar w:fldCharType="end"/>
      </w:r>
      <w:bookmarkEnd w:id="74"/>
      <w:r w:rsidRPr="00AB62FA">
        <w:rPr>
          <w:noProof/>
        </w:rPr>
        <w:t>: Cross border element (in % of all preliminary review concentration cases)</w:t>
      </w:r>
      <w:bookmarkEnd w:id="75"/>
      <w:bookmarkEnd w:id="76"/>
      <w:bookmarkEnd w:id="77"/>
    </w:p>
    <w:tbl>
      <w:tblPr>
        <w:tblStyle w:val="EurolookClassicGrey"/>
        <w:tblW w:w="5000" w:type="pct"/>
        <w:tblLook w:val="04A0" w:firstRow="1" w:lastRow="0" w:firstColumn="1" w:lastColumn="0" w:noHBand="0" w:noVBand="1"/>
      </w:tblPr>
      <w:tblGrid>
        <w:gridCol w:w="6879"/>
        <w:gridCol w:w="1723"/>
      </w:tblGrid>
      <w:tr w:rsidR="005A5C27" w:rsidRPr="00AB62FA" w14:paraId="7ECD8C62" w14:textId="77777777" w:rsidTr="00DC5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7" w:type="pct"/>
          </w:tcPr>
          <w:p w14:paraId="2A7DAC09" w14:textId="77777777" w:rsidR="005A5C27" w:rsidRPr="00A47B29" w:rsidRDefault="005A5C27" w:rsidP="005F1BD2">
            <w:pPr>
              <w:keepNext/>
              <w:keepLines/>
              <w:spacing w:after="0"/>
              <w:rPr>
                <w:b/>
                <w:noProof/>
                <w:lang w:val="en-IE"/>
              </w:rPr>
            </w:pPr>
            <w:r w:rsidRPr="00A47B29">
              <w:rPr>
                <w:b/>
                <w:noProof/>
                <w:lang w:val="en-IE"/>
              </w:rPr>
              <w:t>Cross-border nature of concentration</w:t>
            </w:r>
          </w:p>
        </w:tc>
        <w:tc>
          <w:tcPr>
            <w:tcW w:w="0" w:type="pct"/>
          </w:tcPr>
          <w:p w14:paraId="323D9017" w14:textId="77777777" w:rsidR="005A5C27" w:rsidRPr="00A47B29" w:rsidRDefault="005A5C27" w:rsidP="005F1BD2">
            <w:pPr>
              <w:keepNext/>
              <w:keepLines/>
              <w:spacing w:after="0"/>
              <w:cnfStyle w:val="100000000000" w:firstRow="1" w:lastRow="0" w:firstColumn="0" w:lastColumn="0" w:oddVBand="0" w:evenVBand="0" w:oddHBand="0" w:evenHBand="0" w:firstRowFirstColumn="0" w:firstRowLastColumn="0" w:lastRowFirstColumn="0" w:lastRowLastColumn="0"/>
              <w:rPr>
                <w:b/>
                <w:noProof/>
                <w:lang w:val="en-IE"/>
              </w:rPr>
            </w:pPr>
            <w:r w:rsidRPr="00A47B29">
              <w:rPr>
                <w:b/>
                <w:noProof/>
                <w:lang w:val="en-IE"/>
              </w:rPr>
              <w:t>% of all preliminary review concentrations</w:t>
            </w:r>
          </w:p>
        </w:tc>
      </w:tr>
      <w:tr w:rsidR="005A5C27" w:rsidRPr="00AB62FA" w14:paraId="4F8B1DAA" w14:textId="77777777" w:rsidTr="00DC5A33">
        <w:tc>
          <w:tcPr>
            <w:cnfStyle w:val="001000000000" w:firstRow="0" w:lastRow="0" w:firstColumn="1" w:lastColumn="0" w:oddVBand="0" w:evenVBand="0" w:oddHBand="0" w:evenHBand="0" w:firstRowFirstColumn="0" w:firstRowLastColumn="0" w:lastRowFirstColumn="0" w:lastRowLastColumn="0"/>
            <w:tcW w:w="2567" w:type="pct"/>
          </w:tcPr>
          <w:p w14:paraId="2E8F7720" w14:textId="77777777" w:rsidR="005A5C27" w:rsidRPr="00F21A0D" w:rsidRDefault="005A5C27" w:rsidP="005F1BD2">
            <w:pPr>
              <w:keepNext/>
              <w:keepLines/>
              <w:spacing w:after="0"/>
              <w:rPr>
                <w:bCs/>
                <w:noProof/>
                <w:color w:val="000000" w:themeColor="text1"/>
                <w:szCs w:val="24"/>
                <w:lang w:val="pt-PT"/>
              </w:rPr>
            </w:pPr>
            <w:r>
              <w:rPr>
                <w:bCs/>
                <w:noProof/>
                <w:color w:val="000000" w:themeColor="text1"/>
                <w:szCs w:val="24"/>
                <w:lang w:val="pt-PT"/>
              </w:rPr>
              <w:t>Intra-EU concentrations (cross-border)</w:t>
            </w:r>
          </w:p>
        </w:tc>
        <w:tc>
          <w:tcPr>
            <w:tcW w:w="0" w:type="pct"/>
          </w:tcPr>
          <w:p w14:paraId="50D9D347" w14:textId="0B578236" w:rsidR="005A5C27" w:rsidRPr="00A47B29" w:rsidRDefault="0066359F" w:rsidP="005F1BD2">
            <w:pPr>
              <w:keepNext/>
              <w:keepLines/>
              <w:spacing w:after="0"/>
              <w:cnfStyle w:val="000000000000" w:firstRow="0" w:lastRow="0" w:firstColumn="0" w:lastColumn="0" w:oddVBand="0" w:evenVBand="0" w:oddHBand="0" w:evenHBand="0" w:firstRowFirstColumn="0" w:firstRowLastColumn="0" w:lastRowFirstColumn="0" w:lastRowLastColumn="0"/>
              <w:rPr>
                <w:noProof/>
                <w:color w:val="000000" w:themeColor="text1"/>
                <w:lang w:val="en-IE"/>
              </w:rPr>
            </w:pPr>
            <w:r>
              <w:rPr>
                <w:noProof/>
                <w:color w:val="000000" w:themeColor="text1"/>
                <w:lang w:val="en-IE"/>
              </w:rPr>
              <w:t>19</w:t>
            </w:r>
            <w:r w:rsidR="005A5C27" w:rsidRPr="00A47B29">
              <w:rPr>
                <w:noProof/>
                <w:color w:val="000000" w:themeColor="text1"/>
                <w:lang w:val="en-IE"/>
              </w:rPr>
              <w:t>%</w:t>
            </w:r>
          </w:p>
        </w:tc>
      </w:tr>
      <w:tr w:rsidR="005A5C27" w:rsidRPr="00AB62FA" w14:paraId="2F505FE9" w14:textId="77777777" w:rsidTr="00DC5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7" w:type="pct"/>
          </w:tcPr>
          <w:p w14:paraId="26FDD88D" w14:textId="77777777" w:rsidR="005A5C27" w:rsidRPr="007348B5" w:rsidRDefault="005A5C27" w:rsidP="005F1BD2">
            <w:pPr>
              <w:keepNext/>
              <w:keepLines/>
              <w:spacing w:after="0"/>
              <w:rPr>
                <w:noProof/>
                <w:color w:val="000000" w:themeColor="text1"/>
                <w:lang w:val="fr-FR"/>
              </w:rPr>
            </w:pPr>
            <w:r w:rsidRPr="007348B5">
              <w:rPr>
                <w:noProof/>
                <w:color w:val="000000" w:themeColor="text1"/>
                <w:lang w:val="fr-FR"/>
              </w:rPr>
              <w:t>Intra</w:t>
            </w:r>
            <w:r>
              <w:rPr>
                <w:noProof/>
                <w:color w:val="000000" w:themeColor="text1"/>
                <w:lang w:val="fr-FR"/>
              </w:rPr>
              <w:t>-</w:t>
            </w:r>
            <w:r w:rsidRPr="007348B5">
              <w:rPr>
                <w:noProof/>
                <w:color w:val="000000" w:themeColor="text1"/>
                <w:lang w:val="fr-FR"/>
              </w:rPr>
              <w:t>EU concentrations (same M</w:t>
            </w:r>
            <w:r>
              <w:rPr>
                <w:noProof/>
                <w:color w:val="000000" w:themeColor="text1"/>
                <w:lang w:val="fr-FR"/>
              </w:rPr>
              <w:t>ember State)</w:t>
            </w:r>
          </w:p>
        </w:tc>
        <w:tc>
          <w:tcPr>
            <w:tcW w:w="0" w:type="pct"/>
          </w:tcPr>
          <w:p w14:paraId="7369723C" w14:textId="73E17503" w:rsidR="005A5C27" w:rsidRPr="00A47B29" w:rsidRDefault="0066359F" w:rsidP="005F1BD2">
            <w:pPr>
              <w:keepNext/>
              <w:keepLines/>
              <w:spacing w:after="0"/>
              <w:cnfStyle w:val="000000010000" w:firstRow="0" w:lastRow="0" w:firstColumn="0" w:lastColumn="0" w:oddVBand="0" w:evenVBand="0" w:oddHBand="0" w:evenHBand="1" w:firstRowFirstColumn="0" w:firstRowLastColumn="0" w:lastRowFirstColumn="0" w:lastRowLastColumn="0"/>
              <w:rPr>
                <w:noProof/>
                <w:color w:val="000000" w:themeColor="text1"/>
                <w:lang w:val="en-IE"/>
              </w:rPr>
            </w:pPr>
            <w:r>
              <w:rPr>
                <w:noProof/>
                <w:color w:val="000000" w:themeColor="text1"/>
                <w:lang w:val="en-IE"/>
              </w:rPr>
              <w:t>2</w:t>
            </w:r>
            <w:r w:rsidR="0084729A">
              <w:rPr>
                <w:noProof/>
                <w:color w:val="000000" w:themeColor="text1"/>
                <w:lang w:val="en-IE"/>
              </w:rPr>
              <w:t>0</w:t>
            </w:r>
            <w:r w:rsidR="005A5C27" w:rsidRPr="00A47B29">
              <w:rPr>
                <w:noProof/>
                <w:color w:val="000000" w:themeColor="text1"/>
                <w:lang w:val="en-IE"/>
              </w:rPr>
              <w:t>%</w:t>
            </w:r>
          </w:p>
        </w:tc>
      </w:tr>
      <w:tr w:rsidR="005A5C27" w:rsidRPr="00AB62FA" w14:paraId="5613D797" w14:textId="77777777" w:rsidTr="00DC5A33">
        <w:tc>
          <w:tcPr>
            <w:cnfStyle w:val="001000000000" w:firstRow="0" w:lastRow="0" w:firstColumn="1" w:lastColumn="0" w:oddVBand="0" w:evenVBand="0" w:oddHBand="0" w:evenHBand="0" w:firstRowFirstColumn="0" w:firstRowLastColumn="0" w:lastRowFirstColumn="0" w:lastRowLastColumn="0"/>
            <w:tcW w:w="2567" w:type="pct"/>
          </w:tcPr>
          <w:p w14:paraId="397C27B7" w14:textId="77777777" w:rsidR="005A5C27" w:rsidRPr="00A47B29" w:rsidRDefault="005A5C27" w:rsidP="005F1BD2">
            <w:pPr>
              <w:keepNext/>
              <w:keepLines/>
              <w:spacing w:after="0"/>
              <w:rPr>
                <w:noProof/>
                <w:color w:val="000000" w:themeColor="text1"/>
                <w:lang w:val="fr-FR"/>
              </w:rPr>
            </w:pPr>
            <w:r w:rsidRPr="00A47B29">
              <w:rPr>
                <w:noProof/>
                <w:color w:val="000000" w:themeColor="text1"/>
                <w:lang w:val="fr-FR"/>
              </w:rPr>
              <w:t xml:space="preserve">EU - non EU </w:t>
            </w:r>
            <w:r>
              <w:rPr>
                <w:noProof/>
                <w:color w:val="000000" w:themeColor="text1"/>
                <w:lang w:val="fr-FR"/>
              </w:rPr>
              <w:t>concentrations</w:t>
            </w:r>
          </w:p>
        </w:tc>
        <w:tc>
          <w:tcPr>
            <w:tcW w:w="0" w:type="pct"/>
          </w:tcPr>
          <w:p w14:paraId="6B0C688D" w14:textId="77777777" w:rsidR="005A5C27" w:rsidRPr="00A47B29" w:rsidRDefault="005A5C27" w:rsidP="005F1BD2">
            <w:pPr>
              <w:keepNext/>
              <w:keepLines/>
              <w:spacing w:after="0"/>
              <w:cnfStyle w:val="000000000000" w:firstRow="0" w:lastRow="0" w:firstColumn="0" w:lastColumn="0" w:oddVBand="0" w:evenVBand="0" w:oddHBand="0" w:evenHBand="0" w:firstRowFirstColumn="0" w:firstRowLastColumn="0" w:lastRowFirstColumn="0" w:lastRowLastColumn="0"/>
              <w:rPr>
                <w:noProof/>
                <w:color w:val="000000" w:themeColor="text1"/>
                <w:lang w:val="en-IE"/>
              </w:rPr>
            </w:pPr>
            <w:r w:rsidRPr="00A47B29">
              <w:rPr>
                <w:noProof/>
                <w:color w:val="000000" w:themeColor="text1"/>
                <w:lang w:val="en-IE"/>
              </w:rPr>
              <w:t>39%</w:t>
            </w:r>
          </w:p>
        </w:tc>
      </w:tr>
      <w:tr w:rsidR="005A5C27" w:rsidRPr="00AB62FA" w14:paraId="7118CC5C" w14:textId="77777777" w:rsidTr="00DC5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7" w:type="pct"/>
          </w:tcPr>
          <w:p w14:paraId="5242AB20" w14:textId="417088AD" w:rsidR="005A5C27" w:rsidRPr="00A47B29" w:rsidRDefault="005A5C27" w:rsidP="005F1BD2">
            <w:pPr>
              <w:keepNext/>
              <w:keepLines/>
              <w:spacing w:after="0"/>
              <w:rPr>
                <w:noProof/>
                <w:color w:val="000000" w:themeColor="text1"/>
                <w:lang w:val="fr-FR"/>
              </w:rPr>
            </w:pPr>
            <w:r w:rsidRPr="00A47B29">
              <w:rPr>
                <w:noProof/>
                <w:color w:val="000000" w:themeColor="text1"/>
                <w:lang w:val="fr-FR"/>
              </w:rPr>
              <w:t>non EU - non EU</w:t>
            </w:r>
            <w:r>
              <w:rPr>
                <w:noProof/>
                <w:color w:val="000000" w:themeColor="text1"/>
                <w:lang w:val="fr-FR"/>
              </w:rPr>
              <w:t xml:space="preserve"> concentrations</w:t>
            </w:r>
            <w:r w:rsidR="009D603E">
              <w:rPr>
                <w:noProof/>
                <w:color w:val="000000" w:themeColor="text1"/>
                <w:lang w:val="fr-FR"/>
              </w:rPr>
              <w:t xml:space="preserve"> (different non-EU country)</w:t>
            </w:r>
          </w:p>
        </w:tc>
        <w:tc>
          <w:tcPr>
            <w:tcW w:w="0" w:type="pct"/>
          </w:tcPr>
          <w:p w14:paraId="62ABBA59" w14:textId="77777777" w:rsidR="005A5C27" w:rsidRPr="00A47B29" w:rsidRDefault="005A5C27" w:rsidP="005F1BD2">
            <w:pPr>
              <w:keepNext/>
              <w:keepLines/>
              <w:spacing w:after="0"/>
              <w:cnfStyle w:val="000000010000" w:firstRow="0" w:lastRow="0" w:firstColumn="0" w:lastColumn="0" w:oddVBand="0" w:evenVBand="0" w:oddHBand="0" w:evenHBand="1" w:firstRowFirstColumn="0" w:firstRowLastColumn="0" w:lastRowFirstColumn="0" w:lastRowLastColumn="0"/>
              <w:rPr>
                <w:noProof/>
                <w:color w:val="000000" w:themeColor="text1"/>
                <w:lang w:val="en-IE"/>
              </w:rPr>
            </w:pPr>
            <w:r w:rsidRPr="00A47B29">
              <w:rPr>
                <w:noProof/>
                <w:color w:val="000000" w:themeColor="text1"/>
                <w:lang w:val="en-IE"/>
              </w:rPr>
              <w:t>12%</w:t>
            </w:r>
          </w:p>
        </w:tc>
      </w:tr>
      <w:tr w:rsidR="005A5C27" w:rsidRPr="00AB62FA" w14:paraId="3E2FC1C7" w14:textId="77777777" w:rsidTr="00DC5A33">
        <w:trPr>
          <w:trHeight w:val="378"/>
        </w:trPr>
        <w:tc>
          <w:tcPr>
            <w:cnfStyle w:val="001000000000" w:firstRow="0" w:lastRow="0" w:firstColumn="1" w:lastColumn="0" w:oddVBand="0" w:evenVBand="0" w:oddHBand="0" w:evenHBand="0" w:firstRowFirstColumn="0" w:firstRowLastColumn="0" w:lastRowFirstColumn="0" w:lastRowLastColumn="0"/>
            <w:tcW w:w="2567" w:type="pct"/>
          </w:tcPr>
          <w:p w14:paraId="5F64D211" w14:textId="77777777" w:rsidR="005A5C27" w:rsidRPr="00A47B29" w:rsidRDefault="005A5C27" w:rsidP="005F1BD2">
            <w:pPr>
              <w:keepNext/>
              <w:keepLines/>
              <w:spacing w:after="0"/>
              <w:rPr>
                <w:noProof/>
                <w:color w:val="000000" w:themeColor="text1"/>
                <w:lang w:val="fr-FR"/>
              </w:rPr>
            </w:pPr>
            <w:r w:rsidRPr="00A47B29">
              <w:rPr>
                <w:noProof/>
                <w:color w:val="000000" w:themeColor="text1"/>
                <w:lang w:val="fr-FR"/>
              </w:rPr>
              <w:t>non EU - non EU</w:t>
            </w:r>
            <w:r>
              <w:rPr>
                <w:noProof/>
                <w:color w:val="000000" w:themeColor="text1"/>
                <w:lang w:val="fr-FR"/>
              </w:rPr>
              <w:t xml:space="preserve"> concentrations (same non-EU country)</w:t>
            </w:r>
          </w:p>
        </w:tc>
        <w:tc>
          <w:tcPr>
            <w:tcW w:w="0" w:type="pct"/>
          </w:tcPr>
          <w:p w14:paraId="39DBBEB4" w14:textId="0974CFA0" w:rsidR="005A5C27" w:rsidRPr="00A47B29" w:rsidRDefault="005A5C27" w:rsidP="005F1BD2">
            <w:pPr>
              <w:keepNext/>
              <w:keepLines/>
              <w:spacing w:after="0"/>
              <w:cnfStyle w:val="000000000000" w:firstRow="0" w:lastRow="0" w:firstColumn="0" w:lastColumn="0" w:oddVBand="0" w:evenVBand="0" w:oddHBand="0" w:evenHBand="0" w:firstRowFirstColumn="0" w:firstRowLastColumn="0" w:lastRowFirstColumn="0" w:lastRowLastColumn="0"/>
              <w:rPr>
                <w:noProof/>
                <w:color w:val="000000" w:themeColor="text1"/>
                <w:lang w:val="en-IE"/>
              </w:rPr>
            </w:pPr>
            <w:r w:rsidRPr="00A47B29">
              <w:rPr>
                <w:noProof/>
                <w:color w:val="000000" w:themeColor="text1"/>
                <w:lang w:val="en-IE"/>
              </w:rPr>
              <w:t>10% </w:t>
            </w:r>
          </w:p>
        </w:tc>
      </w:tr>
    </w:tbl>
    <w:p w14:paraId="26B1FD71" w14:textId="5AF71342" w:rsidR="00AB62FA" w:rsidRPr="00AA261D" w:rsidRDefault="00EF1F9B" w:rsidP="005F1BD2">
      <w:pPr>
        <w:pStyle w:val="Source"/>
        <w:keepNext/>
        <w:rPr>
          <w:noProof/>
          <w:lang w:val="en-IE"/>
        </w:rPr>
      </w:pPr>
      <w:r w:rsidRPr="00DE4720">
        <w:rPr>
          <w:noProof/>
          <w:lang w:val="en-IE"/>
        </w:rPr>
        <w:t>Source: Commission services</w:t>
      </w:r>
      <w:r w:rsidR="0030489A">
        <w:rPr>
          <w:noProof/>
          <w:lang w:val="en-IE"/>
        </w:rPr>
        <w:t>.</w:t>
      </w:r>
    </w:p>
    <w:p w14:paraId="38772885" w14:textId="614DE8C4" w:rsidR="0045392E" w:rsidRDefault="0045392E" w:rsidP="004A1922">
      <w:pPr>
        <w:rPr>
          <w:noProof/>
        </w:rPr>
      </w:pPr>
      <w:r>
        <w:rPr>
          <w:noProof/>
        </w:rPr>
        <w:t>The</w:t>
      </w:r>
      <w:r w:rsidRPr="002F1BB5">
        <w:rPr>
          <w:noProof/>
        </w:rPr>
        <w:t xml:space="preserve"> </w:t>
      </w:r>
      <w:r>
        <w:rPr>
          <w:noProof/>
        </w:rPr>
        <w:t>data</w:t>
      </w:r>
      <w:r w:rsidRPr="002F1BB5">
        <w:rPr>
          <w:noProof/>
        </w:rPr>
        <w:t xml:space="preserve"> </w:t>
      </w:r>
      <w:r>
        <w:rPr>
          <w:noProof/>
        </w:rPr>
        <w:t>presented in Table 1 are</w:t>
      </w:r>
      <w:r w:rsidRPr="002F1BB5">
        <w:rPr>
          <w:noProof/>
        </w:rPr>
        <w:t xml:space="preserve"> closely aligned with the data presented in the FSR Review Study (</w:t>
      </w:r>
      <w:r>
        <w:rPr>
          <w:rStyle w:val="FootnoteReference"/>
          <w:noProof/>
        </w:rPr>
        <w:footnoteReference w:id="54"/>
      </w:r>
      <w:r>
        <w:rPr>
          <w:noProof/>
        </w:rPr>
        <w:t>)</w:t>
      </w:r>
      <w:r w:rsidR="006971DF">
        <w:rPr>
          <w:noProof/>
        </w:rPr>
        <w:t>.</w:t>
      </w:r>
    </w:p>
    <w:p w14:paraId="525E8A79" w14:textId="4BD64111" w:rsidR="001250CA" w:rsidRDefault="001250CA" w:rsidP="006041B3">
      <w:pPr>
        <w:pStyle w:val="ContNumLevel2"/>
        <w:keepNext/>
        <w:rPr>
          <w:noProof/>
          <w:lang w:val="en-IE"/>
        </w:rPr>
      </w:pPr>
      <w:r>
        <w:rPr>
          <w:noProof/>
          <w:lang w:val="en-IE"/>
        </w:rPr>
        <w:t>A</w:t>
      </w:r>
      <w:r w:rsidRPr="001250CA">
        <w:rPr>
          <w:noProof/>
          <w:lang w:val="en-IE"/>
        </w:rPr>
        <w:t>mount and type of reported FFCs</w:t>
      </w:r>
    </w:p>
    <w:p w14:paraId="06CF3F33" w14:textId="7D223E5C" w:rsidR="001250CA" w:rsidRDefault="001777CE" w:rsidP="004A1922">
      <w:pPr>
        <w:rPr>
          <w:noProof/>
          <w:lang w:val="en-IE"/>
        </w:rPr>
      </w:pPr>
      <w:r>
        <w:rPr>
          <w:noProof/>
          <w:lang w:val="en-IE"/>
        </w:rPr>
        <w:t>With regards the amount and type of reported FFCs, the internal analysis of case data showed the following distribution of FFCs</w:t>
      </w:r>
      <w:r w:rsidR="00D7358F">
        <w:rPr>
          <w:noProof/>
          <w:lang w:val="en-IE"/>
        </w:rPr>
        <w:t xml:space="preserve"> that do not fall under Article 5 FSR</w:t>
      </w:r>
      <w:r>
        <w:rPr>
          <w:noProof/>
          <w:lang w:val="en-IE"/>
        </w:rPr>
        <w:t>:</w:t>
      </w:r>
    </w:p>
    <w:p w14:paraId="1463DA61" w14:textId="0AD16B69" w:rsidR="00AB62FA" w:rsidRDefault="00AB62FA" w:rsidP="005F1BD2">
      <w:pPr>
        <w:pStyle w:val="Caption"/>
        <w:keepLines/>
        <w:rPr>
          <w:noProof/>
        </w:rPr>
      </w:pPr>
      <w:bookmarkStart w:id="78" w:name="_Toc227161646"/>
      <w:bookmarkStart w:id="79" w:name="_Toc227161811"/>
      <w:r w:rsidRPr="00A47B29">
        <w:rPr>
          <w:noProof/>
        </w:rPr>
        <w:t xml:space="preserve">Table </w:t>
      </w:r>
      <w:r w:rsidRPr="0038793C">
        <w:rPr>
          <w:noProof/>
        </w:rPr>
        <w:fldChar w:fldCharType="begin"/>
      </w:r>
      <w:r w:rsidRPr="00AB62FA">
        <w:rPr>
          <w:noProof/>
        </w:rPr>
        <w:instrText xml:space="preserve"> SEQ Table \* ARABIC </w:instrText>
      </w:r>
      <w:r w:rsidRPr="0038793C">
        <w:rPr>
          <w:noProof/>
        </w:rPr>
        <w:fldChar w:fldCharType="separate"/>
      </w:r>
      <w:r w:rsidR="00227418">
        <w:rPr>
          <w:noProof/>
        </w:rPr>
        <w:t>2</w:t>
      </w:r>
      <w:r w:rsidRPr="0038793C">
        <w:rPr>
          <w:noProof/>
        </w:rPr>
        <w:fldChar w:fldCharType="end"/>
      </w:r>
      <w:r w:rsidRPr="00A47B29">
        <w:rPr>
          <w:noProof/>
        </w:rPr>
        <w:t xml:space="preserve">: Concentrations classified according to the size of </w:t>
      </w:r>
      <w:r w:rsidR="00C57862" w:rsidRPr="00A47B29">
        <w:rPr>
          <w:noProof/>
        </w:rPr>
        <w:t xml:space="preserve">reported </w:t>
      </w:r>
      <w:r w:rsidRPr="00A47B29">
        <w:rPr>
          <w:noProof/>
        </w:rPr>
        <w:t xml:space="preserve">FFCs that do not fall under Article 5 FSR </w:t>
      </w:r>
      <w:bookmarkEnd w:id="78"/>
      <w:bookmarkEnd w:id="79"/>
    </w:p>
    <w:tbl>
      <w:tblPr>
        <w:tblStyle w:val="EurolookClassicGrey"/>
        <w:tblW w:w="0" w:type="auto"/>
        <w:tblLook w:val="04A0" w:firstRow="1" w:lastRow="0" w:firstColumn="1" w:lastColumn="0" w:noHBand="0" w:noVBand="1"/>
      </w:tblPr>
      <w:tblGrid>
        <w:gridCol w:w="4303"/>
        <w:gridCol w:w="1723"/>
      </w:tblGrid>
      <w:tr w:rsidR="005A5C27" w:rsidRPr="00A47B29" w14:paraId="68AB4F65" w14:textId="77777777" w:rsidTr="00DC5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03" w:type="dxa"/>
          </w:tcPr>
          <w:p w14:paraId="3762C177" w14:textId="04E79786" w:rsidR="005A5C27" w:rsidRPr="00A47B29" w:rsidRDefault="005A5C27" w:rsidP="005F1BD2">
            <w:pPr>
              <w:keepNext/>
              <w:keepLines/>
              <w:rPr>
                <w:b/>
                <w:noProof/>
                <w:color w:val="FFFFFF" w:themeColor="background1"/>
                <w:lang w:val="en-IE"/>
              </w:rPr>
            </w:pPr>
            <w:r w:rsidRPr="009A6162">
              <w:rPr>
                <w:b/>
                <w:noProof/>
                <w:color w:val="FFFFFF" w:themeColor="background1"/>
                <w:lang w:val="en-IE"/>
              </w:rPr>
              <w:t>Concentrations classified to ranges of FFCS that are not Article 5</w:t>
            </w:r>
          </w:p>
        </w:tc>
        <w:tc>
          <w:tcPr>
            <w:tcW w:w="0" w:type="dxa"/>
          </w:tcPr>
          <w:p w14:paraId="62A4D5CF" w14:textId="77777777" w:rsidR="005A5C27" w:rsidRPr="00A47B29" w:rsidRDefault="005A5C27" w:rsidP="005F1BD2">
            <w:pPr>
              <w:keepNext/>
              <w:keepLines/>
              <w:cnfStyle w:val="100000000000" w:firstRow="1" w:lastRow="0" w:firstColumn="0" w:lastColumn="0" w:oddVBand="0" w:evenVBand="0" w:oddHBand="0" w:evenHBand="0" w:firstRowFirstColumn="0" w:firstRowLastColumn="0" w:lastRowFirstColumn="0" w:lastRowLastColumn="0"/>
              <w:rPr>
                <w:b/>
                <w:noProof/>
                <w:color w:val="FFFFFF" w:themeColor="background1"/>
                <w:lang w:val="en-IE"/>
              </w:rPr>
            </w:pPr>
            <w:r w:rsidRPr="009A6162">
              <w:rPr>
                <w:b/>
                <w:noProof/>
                <w:color w:val="FFFFFF" w:themeColor="background1"/>
                <w:lang w:val="en-IE"/>
              </w:rPr>
              <w:t>% of all preliminary review concentrations</w:t>
            </w:r>
          </w:p>
        </w:tc>
      </w:tr>
      <w:tr w:rsidR="005A5C27" w:rsidRPr="00AB62FA" w14:paraId="0FE7855E" w14:textId="77777777" w:rsidTr="00DC5A33">
        <w:tc>
          <w:tcPr>
            <w:cnfStyle w:val="001000000000" w:firstRow="0" w:lastRow="0" w:firstColumn="1" w:lastColumn="0" w:oddVBand="0" w:evenVBand="0" w:oddHBand="0" w:evenHBand="0" w:firstRowFirstColumn="0" w:firstRowLastColumn="0" w:lastRowFirstColumn="0" w:lastRowLastColumn="0"/>
            <w:tcW w:w="4303" w:type="dxa"/>
          </w:tcPr>
          <w:p w14:paraId="0F11D6CC" w14:textId="529714B5" w:rsidR="005A5C27" w:rsidRPr="00AB62FA" w:rsidRDefault="00AE3002" w:rsidP="005F1BD2">
            <w:pPr>
              <w:keepNext/>
              <w:keepLines/>
              <w:rPr>
                <w:noProof/>
                <w:color w:val="auto"/>
                <w:lang w:val="fr-FR"/>
              </w:rPr>
            </w:pPr>
            <w:r w:rsidRPr="00AB62FA">
              <w:rPr>
                <w:noProof/>
                <w:color w:val="auto"/>
                <w:lang w:val="fr-FR"/>
              </w:rPr>
              <w:t xml:space="preserve">EUR </w:t>
            </w:r>
            <w:r w:rsidR="005A5C27" w:rsidRPr="00AB62FA">
              <w:rPr>
                <w:noProof/>
                <w:color w:val="auto"/>
                <w:lang w:val="fr-FR"/>
              </w:rPr>
              <w:t>&gt; 1000 million</w:t>
            </w:r>
          </w:p>
        </w:tc>
        <w:tc>
          <w:tcPr>
            <w:tcW w:w="0" w:type="dxa"/>
          </w:tcPr>
          <w:p w14:paraId="3A6A0250" w14:textId="2B52ED66" w:rsidR="005A5C27" w:rsidRPr="00AB62FA" w:rsidRDefault="00FC40DD" w:rsidP="005F1BD2">
            <w:pPr>
              <w:keepNext/>
              <w:keepLines/>
              <w:cnfStyle w:val="000000000000" w:firstRow="0" w:lastRow="0" w:firstColumn="0" w:lastColumn="0" w:oddVBand="0" w:evenVBand="0" w:oddHBand="0" w:evenHBand="0" w:firstRowFirstColumn="0" w:firstRowLastColumn="0" w:lastRowFirstColumn="0" w:lastRowLastColumn="0"/>
              <w:rPr>
                <w:noProof/>
                <w:lang w:val="fr-FR"/>
              </w:rPr>
            </w:pPr>
            <w:r>
              <w:rPr>
                <w:noProof/>
                <w:lang w:val="fr-FR"/>
              </w:rPr>
              <w:t>49</w:t>
            </w:r>
            <w:r w:rsidR="005A5C27" w:rsidRPr="00AB62FA">
              <w:rPr>
                <w:noProof/>
                <w:lang w:val="fr-FR"/>
              </w:rPr>
              <w:t>%</w:t>
            </w:r>
          </w:p>
        </w:tc>
      </w:tr>
      <w:tr w:rsidR="005A5C27" w:rsidRPr="00AB62FA" w14:paraId="556448E3" w14:textId="77777777" w:rsidTr="00DC5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03" w:type="dxa"/>
          </w:tcPr>
          <w:p w14:paraId="3FF41382" w14:textId="399C7861" w:rsidR="005A5C27" w:rsidRPr="00AB62FA" w:rsidRDefault="00AE3002" w:rsidP="005F1BD2">
            <w:pPr>
              <w:keepNext/>
              <w:keepLines/>
              <w:rPr>
                <w:noProof/>
                <w:color w:val="auto"/>
              </w:rPr>
            </w:pPr>
            <w:r w:rsidRPr="00AB62FA">
              <w:rPr>
                <w:noProof/>
                <w:color w:val="auto"/>
                <w:lang w:val="fr-FR"/>
              </w:rPr>
              <w:t xml:space="preserve">EUR </w:t>
            </w:r>
            <w:r w:rsidR="005A5C27" w:rsidRPr="00AB62FA">
              <w:rPr>
                <w:noProof/>
                <w:color w:val="auto"/>
              </w:rPr>
              <w:t>500-1000 EUR million</w:t>
            </w:r>
          </w:p>
        </w:tc>
        <w:tc>
          <w:tcPr>
            <w:tcW w:w="0" w:type="dxa"/>
          </w:tcPr>
          <w:p w14:paraId="119D2A16" w14:textId="77777777" w:rsidR="005A5C27" w:rsidRPr="00AB62FA" w:rsidRDefault="005A5C27" w:rsidP="005F1BD2">
            <w:pPr>
              <w:keepNext/>
              <w:keepLines/>
              <w:cnfStyle w:val="000000010000" w:firstRow="0" w:lastRow="0" w:firstColumn="0" w:lastColumn="0" w:oddVBand="0" w:evenVBand="0" w:oddHBand="0" w:evenHBand="1" w:firstRowFirstColumn="0" w:firstRowLastColumn="0" w:lastRowFirstColumn="0" w:lastRowLastColumn="0"/>
              <w:rPr>
                <w:noProof/>
              </w:rPr>
            </w:pPr>
            <w:r w:rsidRPr="00AB62FA">
              <w:rPr>
                <w:noProof/>
              </w:rPr>
              <w:t>10%</w:t>
            </w:r>
          </w:p>
        </w:tc>
      </w:tr>
      <w:tr w:rsidR="005A5C27" w:rsidRPr="00AB62FA" w14:paraId="30B34705" w14:textId="77777777" w:rsidTr="00DC5A33">
        <w:tc>
          <w:tcPr>
            <w:cnfStyle w:val="001000000000" w:firstRow="0" w:lastRow="0" w:firstColumn="1" w:lastColumn="0" w:oddVBand="0" w:evenVBand="0" w:oddHBand="0" w:evenHBand="0" w:firstRowFirstColumn="0" w:firstRowLastColumn="0" w:lastRowFirstColumn="0" w:lastRowLastColumn="0"/>
            <w:tcW w:w="4303" w:type="dxa"/>
          </w:tcPr>
          <w:p w14:paraId="034CFD77" w14:textId="42C2E81F" w:rsidR="005A5C27" w:rsidRPr="00AB62FA" w:rsidRDefault="00AE3002" w:rsidP="005F1BD2">
            <w:pPr>
              <w:keepNext/>
              <w:keepLines/>
              <w:rPr>
                <w:noProof/>
                <w:color w:val="auto"/>
                <w:lang w:val="fr-FR"/>
              </w:rPr>
            </w:pPr>
            <w:r w:rsidRPr="00AB62FA">
              <w:rPr>
                <w:noProof/>
                <w:color w:val="auto"/>
                <w:lang w:val="fr-FR"/>
              </w:rPr>
              <w:t xml:space="preserve">EUR </w:t>
            </w:r>
            <w:r w:rsidR="005A5C27" w:rsidRPr="00AB62FA">
              <w:rPr>
                <w:noProof/>
                <w:color w:val="auto"/>
                <w:lang w:val="fr-FR"/>
              </w:rPr>
              <w:t>100-500 EUR million</w:t>
            </w:r>
          </w:p>
        </w:tc>
        <w:tc>
          <w:tcPr>
            <w:tcW w:w="0" w:type="dxa"/>
          </w:tcPr>
          <w:p w14:paraId="3BA47F45" w14:textId="77777777" w:rsidR="005A5C27" w:rsidRPr="00AB62FA" w:rsidRDefault="005A5C27" w:rsidP="005F1BD2">
            <w:pPr>
              <w:keepNext/>
              <w:keepLines/>
              <w:cnfStyle w:val="000000000000" w:firstRow="0" w:lastRow="0" w:firstColumn="0" w:lastColumn="0" w:oddVBand="0" w:evenVBand="0" w:oddHBand="0" w:evenHBand="0" w:firstRowFirstColumn="0" w:firstRowLastColumn="0" w:lastRowFirstColumn="0" w:lastRowLastColumn="0"/>
              <w:rPr>
                <w:noProof/>
                <w:lang w:val="fr-FR"/>
              </w:rPr>
            </w:pPr>
            <w:r w:rsidRPr="00AB62FA">
              <w:rPr>
                <w:noProof/>
                <w:lang w:val="fr-FR"/>
              </w:rPr>
              <w:t>15%</w:t>
            </w:r>
          </w:p>
        </w:tc>
      </w:tr>
      <w:tr w:rsidR="005A5C27" w:rsidRPr="00AB62FA" w14:paraId="729E38B0" w14:textId="77777777" w:rsidTr="00DC5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03" w:type="dxa"/>
          </w:tcPr>
          <w:p w14:paraId="68B86A33" w14:textId="4A4FC0A8" w:rsidR="005A5C27" w:rsidRPr="00AB62FA" w:rsidRDefault="00AE3002" w:rsidP="005F1BD2">
            <w:pPr>
              <w:keepNext/>
              <w:keepLines/>
              <w:rPr>
                <w:noProof/>
                <w:color w:val="auto"/>
                <w:lang w:val="pt-PT"/>
              </w:rPr>
            </w:pPr>
            <w:r w:rsidRPr="00AB62FA">
              <w:rPr>
                <w:noProof/>
                <w:color w:val="auto"/>
                <w:lang w:val="fr-FR"/>
              </w:rPr>
              <w:t xml:space="preserve">EUR </w:t>
            </w:r>
            <w:r w:rsidR="005A5C27" w:rsidRPr="00AB62FA">
              <w:rPr>
                <w:noProof/>
                <w:color w:val="auto"/>
                <w:lang w:val="pt-PT"/>
              </w:rPr>
              <w:t>45-100 EUR million</w:t>
            </w:r>
          </w:p>
        </w:tc>
        <w:tc>
          <w:tcPr>
            <w:tcW w:w="0" w:type="dxa"/>
          </w:tcPr>
          <w:p w14:paraId="05CF0923" w14:textId="77777777" w:rsidR="005A5C27" w:rsidRPr="00AB62FA" w:rsidRDefault="005A5C27" w:rsidP="005F1BD2">
            <w:pPr>
              <w:keepNext/>
              <w:keepLines/>
              <w:cnfStyle w:val="000000010000" w:firstRow="0" w:lastRow="0" w:firstColumn="0" w:lastColumn="0" w:oddVBand="0" w:evenVBand="0" w:oddHBand="0" w:evenHBand="1" w:firstRowFirstColumn="0" w:firstRowLastColumn="0" w:lastRowFirstColumn="0" w:lastRowLastColumn="0"/>
              <w:rPr>
                <w:noProof/>
                <w:lang w:val="pt-PT"/>
              </w:rPr>
            </w:pPr>
            <w:r w:rsidRPr="00AB62FA">
              <w:rPr>
                <w:noProof/>
                <w:lang w:val="pt-PT"/>
              </w:rPr>
              <w:t>6%</w:t>
            </w:r>
          </w:p>
        </w:tc>
      </w:tr>
      <w:tr w:rsidR="005A5C27" w:rsidRPr="00AB62FA" w14:paraId="39C19B5B" w14:textId="77777777" w:rsidTr="00DC5A33">
        <w:tc>
          <w:tcPr>
            <w:cnfStyle w:val="001000000000" w:firstRow="0" w:lastRow="0" w:firstColumn="1" w:lastColumn="0" w:oddVBand="0" w:evenVBand="0" w:oddHBand="0" w:evenHBand="0" w:firstRowFirstColumn="0" w:firstRowLastColumn="0" w:lastRowFirstColumn="0" w:lastRowLastColumn="0"/>
            <w:tcW w:w="4303" w:type="dxa"/>
          </w:tcPr>
          <w:p w14:paraId="3AF1A1E3" w14:textId="77777777" w:rsidR="005A5C27" w:rsidRPr="00F21A0D" w:rsidRDefault="005A5C27" w:rsidP="005F1BD2">
            <w:pPr>
              <w:keepNext/>
              <w:keepLines/>
              <w:rPr>
                <w:noProof/>
                <w:color w:val="auto"/>
                <w:lang w:val="en-IE"/>
              </w:rPr>
            </w:pPr>
            <w:r w:rsidRPr="00006AC7">
              <w:rPr>
                <w:noProof/>
                <w:color w:val="000000" w:themeColor="text1"/>
                <w:lang w:val="en-IE"/>
              </w:rPr>
              <w:t xml:space="preserve">Cases with no reported FFCs </w:t>
            </w:r>
          </w:p>
        </w:tc>
        <w:tc>
          <w:tcPr>
            <w:tcW w:w="0" w:type="dxa"/>
          </w:tcPr>
          <w:p w14:paraId="62DC554F" w14:textId="77777777" w:rsidR="005A5C27" w:rsidRPr="00AB62FA" w:rsidRDefault="005A5C27" w:rsidP="005F1BD2">
            <w:pPr>
              <w:keepNext/>
              <w:keepLines/>
              <w:cnfStyle w:val="000000000000" w:firstRow="0" w:lastRow="0" w:firstColumn="0" w:lastColumn="0" w:oddVBand="0" w:evenVBand="0" w:oddHBand="0" w:evenHBand="0" w:firstRowFirstColumn="0" w:firstRowLastColumn="0" w:lastRowFirstColumn="0" w:lastRowLastColumn="0"/>
              <w:rPr>
                <w:noProof/>
                <w:lang w:val="fr-FR"/>
              </w:rPr>
            </w:pPr>
            <w:r w:rsidRPr="00AB62FA">
              <w:rPr>
                <w:noProof/>
                <w:lang w:val="fr-FR"/>
              </w:rPr>
              <w:t>20% </w:t>
            </w:r>
          </w:p>
        </w:tc>
      </w:tr>
    </w:tbl>
    <w:p w14:paraId="1B01535F" w14:textId="3C0FF121" w:rsidR="0030489A" w:rsidRPr="00AA261D" w:rsidRDefault="0030489A" w:rsidP="005F1BD2">
      <w:pPr>
        <w:pStyle w:val="Source"/>
        <w:keepNext/>
        <w:rPr>
          <w:noProof/>
          <w:lang w:val="en-IE"/>
        </w:rPr>
      </w:pPr>
      <w:r w:rsidRPr="00DE4720">
        <w:rPr>
          <w:noProof/>
          <w:lang w:val="en-IE"/>
        </w:rPr>
        <w:t>Source: Commission services</w:t>
      </w:r>
      <w:r w:rsidR="00463397">
        <w:rPr>
          <w:noProof/>
          <w:lang w:val="en-IE"/>
        </w:rPr>
        <w:t>.</w:t>
      </w:r>
    </w:p>
    <w:p w14:paraId="703254CE" w14:textId="49065003" w:rsidR="001777CE" w:rsidRDefault="00900C8B" w:rsidP="004A1922">
      <w:pPr>
        <w:rPr>
          <w:noProof/>
        </w:rPr>
      </w:pPr>
      <w:r>
        <w:rPr>
          <w:noProof/>
          <w:lang w:val="en-IE"/>
        </w:rPr>
        <w:t>As can be seen from Table 2, u</w:t>
      </w:r>
      <w:r w:rsidR="001777CE">
        <w:rPr>
          <w:noProof/>
          <w:lang w:val="en-IE"/>
        </w:rPr>
        <w:t xml:space="preserve">nder the reporting obligations </w:t>
      </w:r>
      <w:r w:rsidR="008A0315">
        <w:rPr>
          <w:noProof/>
          <w:lang w:val="en-IE"/>
        </w:rPr>
        <w:t xml:space="preserve">in </w:t>
      </w:r>
      <w:r w:rsidR="001777CE">
        <w:rPr>
          <w:noProof/>
          <w:lang w:val="en-IE"/>
        </w:rPr>
        <w:t xml:space="preserve">Form FS-CO, in 20% of cases closed after </w:t>
      </w:r>
      <w:r w:rsidR="00183C75">
        <w:rPr>
          <w:noProof/>
          <w:lang w:val="en-IE"/>
        </w:rPr>
        <w:t>a</w:t>
      </w:r>
      <w:r w:rsidR="001777CE">
        <w:rPr>
          <w:noProof/>
          <w:lang w:val="en-IE"/>
        </w:rPr>
        <w:t xml:space="preserve"> </w:t>
      </w:r>
      <w:r w:rsidR="00183C75">
        <w:rPr>
          <w:noProof/>
          <w:lang w:val="en-IE"/>
        </w:rPr>
        <w:t>p</w:t>
      </w:r>
      <w:r w:rsidR="001777CE">
        <w:rPr>
          <w:noProof/>
          <w:lang w:val="en-IE"/>
        </w:rPr>
        <w:t xml:space="preserve">reliminary </w:t>
      </w:r>
      <w:r w:rsidR="00183C75">
        <w:rPr>
          <w:noProof/>
          <w:lang w:val="en-IE"/>
        </w:rPr>
        <w:t>r</w:t>
      </w:r>
      <w:r w:rsidR="001777CE">
        <w:rPr>
          <w:noProof/>
          <w:lang w:val="en-IE"/>
        </w:rPr>
        <w:t>eview</w:t>
      </w:r>
      <w:r w:rsidR="00AA261D">
        <w:rPr>
          <w:noProof/>
          <w:lang w:val="en-IE"/>
        </w:rPr>
        <w:t xml:space="preserve"> phase</w:t>
      </w:r>
      <w:r w:rsidR="001777CE">
        <w:rPr>
          <w:noProof/>
          <w:lang w:val="en-IE"/>
        </w:rPr>
        <w:t xml:space="preserve">, notifying parties did not report any </w:t>
      </w:r>
      <w:r>
        <w:rPr>
          <w:noProof/>
          <w:lang w:val="en-IE"/>
        </w:rPr>
        <w:t xml:space="preserve">such </w:t>
      </w:r>
      <w:r w:rsidR="00D7358F" w:rsidRPr="00D7358F">
        <w:rPr>
          <w:noProof/>
          <w:lang w:val="en-IE"/>
        </w:rPr>
        <w:t>FFCs</w:t>
      </w:r>
      <w:r w:rsidR="001777CE">
        <w:rPr>
          <w:noProof/>
          <w:lang w:val="en-IE"/>
        </w:rPr>
        <w:t xml:space="preserve">, even if they reached the required FFC threshold of </w:t>
      </w:r>
      <w:r w:rsidR="00463397">
        <w:rPr>
          <w:noProof/>
          <w:lang w:val="en-IE"/>
        </w:rPr>
        <w:t>EUR </w:t>
      </w:r>
      <w:r w:rsidR="001777CE">
        <w:rPr>
          <w:noProof/>
          <w:lang w:val="en-IE"/>
        </w:rPr>
        <w:t xml:space="preserve">50 million included in </w:t>
      </w:r>
      <w:r w:rsidR="00463397">
        <w:rPr>
          <w:noProof/>
          <w:lang w:val="en-IE"/>
        </w:rPr>
        <w:t>Article </w:t>
      </w:r>
      <w:r w:rsidR="001777CE">
        <w:rPr>
          <w:noProof/>
          <w:lang w:val="en-IE"/>
        </w:rPr>
        <w:t>20(</w:t>
      </w:r>
      <w:r w:rsidR="008D38C3">
        <w:rPr>
          <w:noProof/>
          <w:lang w:val="en-IE"/>
        </w:rPr>
        <w:t>3</w:t>
      </w:r>
      <w:r w:rsidR="001777CE">
        <w:rPr>
          <w:noProof/>
          <w:lang w:val="en-IE"/>
        </w:rPr>
        <w:t>)(b) FSR, which ha</w:t>
      </w:r>
      <w:r w:rsidR="003F15B5">
        <w:rPr>
          <w:noProof/>
          <w:lang w:val="en-IE"/>
        </w:rPr>
        <w:t>d</w:t>
      </w:r>
      <w:r w:rsidR="001777CE">
        <w:rPr>
          <w:noProof/>
          <w:lang w:val="en-IE"/>
        </w:rPr>
        <w:t xml:space="preserve"> triggered their notification obligation. Such cases ar</w:t>
      </w:r>
      <w:r w:rsidR="008A0315">
        <w:rPr>
          <w:noProof/>
          <w:lang w:val="en-IE"/>
        </w:rPr>
        <w:t>o</w:t>
      </w:r>
      <w:r w:rsidR="001777CE">
        <w:rPr>
          <w:noProof/>
          <w:lang w:val="en-IE"/>
        </w:rPr>
        <w:t xml:space="preserve">se </w:t>
      </w:r>
      <w:r w:rsidR="009F31A0">
        <w:rPr>
          <w:noProof/>
          <w:lang w:val="en-IE"/>
        </w:rPr>
        <w:t>predominantly</w:t>
      </w:r>
      <w:r w:rsidR="001777CE">
        <w:rPr>
          <w:noProof/>
          <w:lang w:val="en-IE"/>
        </w:rPr>
        <w:t xml:space="preserve"> in situations where the FFCs granted were in the form of one of the categories of FFCs which are </w:t>
      </w:r>
      <w:r w:rsidR="000F45AB">
        <w:rPr>
          <w:noProof/>
          <w:lang w:val="en-IE"/>
        </w:rPr>
        <w:t xml:space="preserve">benefited from an exception </w:t>
      </w:r>
      <w:r w:rsidR="001777CE">
        <w:rPr>
          <w:noProof/>
          <w:lang w:val="en-IE"/>
        </w:rPr>
        <w:t xml:space="preserve">from the reporting obligation, most often in the form of </w:t>
      </w:r>
      <w:r w:rsidR="001777CE">
        <w:rPr>
          <w:noProof/>
        </w:rPr>
        <w:t>p</w:t>
      </w:r>
      <w:r w:rsidR="001777CE" w:rsidRPr="001777CE">
        <w:rPr>
          <w:noProof/>
        </w:rPr>
        <w:t>rovision</w:t>
      </w:r>
      <w:r w:rsidR="001777CE">
        <w:rPr>
          <w:noProof/>
        </w:rPr>
        <w:t xml:space="preserve"> or </w:t>
      </w:r>
      <w:r w:rsidR="001777CE" w:rsidRPr="001777CE">
        <w:rPr>
          <w:noProof/>
        </w:rPr>
        <w:t>purchase of goods</w:t>
      </w:r>
      <w:r w:rsidR="001777CE">
        <w:rPr>
          <w:noProof/>
        </w:rPr>
        <w:t xml:space="preserve"> or </w:t>
      </w:r>
      <w:r w:rsidR="001777CE" w:rsidRPr="001777CE">
        <w:rPr>
          <w:noProof/>
        </w:rPr>
        <w:t>services (except financial services) at market terms in the ordinary course of business</w:t>
      </w:r>
      <w:r w:rsidR="008A0315">
        <w:rPr>
          <w:noProof/>
        </w:rPr>
        <w:t xml:space="preserve">. Those cases were found to </w:t>
      </w:r>
      <w:r w:rsidR="00A36CA3">
        <w:rPr>
          <w:noProof/>
        </w:rPr>
        <w:t xml:space="preserve">not </w:t>
      </w:r>
      <w:r w:rsidR="008A0315">
        <w:rPr>
          <w:noProof/>
        </w:rPr>
        <w:t xml:space="preserve">raise concerns under the FSR and only necessitated </w:t>
      </w:r>
      <w:r w:rsidR="000F45AB">
        <w:rPr>
          <w:noProof/>
        </w:rPr>
        <w:t xml:space="preserve">limited </w:t>
      </w:r>
      <w:r w:rsidR="008A0315">
        <w:rPr>
          <w:noProof/>
        </w:rPr>
        <w:t xml:space="preserve">confirmation of </w:t>
      </w:r>
      <w:r w:rsidR="000F45AB">
        <w:rPr>
          <w:noProof/>
        </w:rPr>
        <w:t>information</w:t>
      </w:r>
      <w:r w:rsidR="008A0315">
        <w:rPr>
          <w:noProof/>
        </w:rPr>
        <w:t xml:space="preserve"> during pre-notification discussions with notifying parties.</w:t>
      </w:r>
    </w:p>
    <w:p w14:paraId="3C6FDE40" w14:textId="2B8684DD" w:rsidR="008A0315" w:rsidRPr="006041B3" w:rsidRDefault="008A0315" w:rsidP="004A1922">
      <w:pPr>
        <w:rPr>
          <w:noProof/>
          <w:lang w:val="en-IE"/>
        </w:rPr>
      </w:pPr>
      <w:r>
        <w:rPr>
          <w:noProof/>
        </w:rPr>
        <w:t xml:space="preserve">In addition, in 6% of cases closed after the </w:t>
      </w:r>
      <w:r w:rsidR="00A36CA3">
        <w:rPr>
          <w:noProof/>
        </w:rPr>
        <w:t>p</w:t>
      </w:r>
      <w:r>
        <w:rPr>
          <w:noProof/>
        </w:rPr>
        <w:t xml:space="preserve">reliminary </w:t>
      </w:r>
      <w:r w:rsidR="00A36CA3">
        <w:rPr>
          <w:noProof/>
        </w:rPr>
        <w:t>r</w:t>
      </w:r>
      <w:r>
        <w:rPr>
          <w:noProof/>
        </w:rPr>
        <w:t xml:space="preserve">eview, the total amount of reported </w:t>
      </w:r>
      <w:r w:rsidR="00D7358F" w:rsidRPr="00D7358F">
        <w:rPr>
          <w:noProof/>
        </w:rPr>
        <w:t xml:space="preserve">FFCs that do not fall under </w:t>
      </w:r>
      <w:r w:rsidR="00463397" w:rsidRPr="00D7358F">
        <w:rPr>
          <w:noProof/>
        </w:rPr>
        <w:t>Article</w:t>
      </w:r>
      <w:r w:rsidR="00463397">
        <w:rPr>
          <w:noProof/>
        </w:rPr>
        <w:t> </w:t>
      </w:r>
      <w:r w:rsidR="00D7358F" w:rsidRPr="00D7358F">
        <w:rPr>
          <w:noProof/>
        </w:rPr>
        <w:t>5 FSR</w:t>
      </w:r>
      <w:r>
        <w:rPr>
          <w:noProof/>
        </w:rPr>
        <w:t xml:space="preserve"> in the Form FS-CO did not exceed </w:t>
      </w:r>
      <w:r w:rsidR="00463397">
        <w:rPr>
          <w:noProof/>
        </w:rPr>
        <w:t>EUR 100 </w:t>
      </w:r>
      <w:r>
        <w:rPr>
          <w:noProof/>
        </w:rPr>
        <w:t xml:space="preserve">million. Those cases were also </w:t>
      </w:r>
      <w:r w:rsidR="009C7261">
        <w:rPr>
          <w:noProof/>
        </w:rPr>
        <w:t xml:space="preserve">generally </w:t>
      </w:r>
      <w:r w:rsidR="005654E0">
        <w:rPr>
          <w:noProof/>
        </w:rPr>
        <w:t xml:space="preserve">found </w:t>
      </w:r>
      <w:r w:rsidR="00A36CA3">
        <w:rPr>
          <w:noProof/>
        </w:rPr>
        <w:t xml:space="preserve">to </w:t>
      </w:r>
      <w:r>
        <w:rPr>
          <w:noProof/>
        </w:rPr>
        <w:t xml:space="preserve">not raise concerns and were </w:t>
      </w:r>
      <w:r w:rsidRPr="006041B3">
        <w:rPr>
          <w:noProof/>
        </w:rPr>
        <w:t>subject to streamlined pre-notification discussions.</w:t>
      </w:r>
    </w:p>
    <w:p w14:paraId="17C7662F" w14:textId="0978C556" w:rsidR="00847A61" w:rsidRDefault="002125D3" w:rsidP="00EB763F">
      <w:pPr>
        <w:rPr>
          <w:bCs/>
          <w:noProof/>
          <w:lang w:val="en-IE"/>
        </w:rPr>
      </w:pPr>
      <w:r w:rsidRPr="006041B3">
        <w:rPr>
          <w:b/>
          <w:noProof/>
          <w:lang w:val="en-IE"/>
        </w:rPr>
        <w:fldChar w:fldCharType="begin"/>
      </w:r>
      <w:r w:rsidRPr="006041B3">
        <w:rPr>
          <w:b/>
          <w:noProof/>
          <w:lang w:val="en-IE"/>
        </w:rPr>
        <w:instrText xml:space="preserve"> REF _Ref229995275 \h  \* MERGEFORMAT </w:instrText>
      </w:r>
      <w:r w:rsidRPr="006041B3">
        <w:rPr>
          <w:b/>
          <w:noProof/>
          <w:lang w:val="en-IE"/>
        </w:rPr>
      </w:r>
      <w:r w:rsidRPr="006041B3">
        <w:rPr>
          <w:b/>
          <w:noProof/>
          <w:lang w:val="en-IE"/>
        </w:rPr>
        <w:fldChar w:fldCharType="separate"/>
      </w:r>
      <w:r w:rsidR="00227418" w:rsidRPr="00370F6C">
        <w:rPr>
          <w:b/>
          <w:noProof/>
        </w:rPr>
        <w:t>Figure 2</w:t>
      </w:r>
      <w:r w:rsidRPr="006041B3">
        <w:rPr>
          <w:b/>
          <w:noProof/>
          <w:lang w:val="en-IE"/>
        </w:rPr>
        <w:fldChar w:fldCharType="end"/>
      </w:r>
      <w:r w:rsidR="00847A61" w:rsidRPr="006041B3">
        <w:rPr>
          <w:bCs/>
          <w:noProof/>
          <w:lang w:val="en-IE"/>
        </w:rPr>
        <w:t xml:space="preserve"> </w:t>
      </w:r>
      <w:r w:rsidR="000F45AB" w:rsidRPr="006041B3">
        <w:rPr>
          <w:bCs/>
          <w:noProof/>
          <w:lang w:val="en-IE"/>
        </w:rPr>
        <w:t xml:space="preserve">provides an overview of the types of </w:t>
      </w:r>
      <w:r w:rsidR="0047062B" w:rsidRPr="006041B3">
        <w:rPr>
          <w:bCs/>
          <w:noProof/>
          <w:lang w:val="en-IE"/>
        </w:rPr>
        <w:t xml:space="preserve">reported FFCs </w:t>
      </w:r>
      <w:r w:rsidR="000F45AB" w:rsidRPr="006041B3">
        <w:rPr>
          <w:bCs/>
          <w:noProof/>
          <w:lang w:val="en-IE"/>
        </w:rPr>
        <w:t xml:space="preserve">that do not fall under </w:t>
      </w:r>
      <w:r w:rsidR="00463397" w:rsidRPr="006041B3">
        <w:rPr>
          <w:bCs/>
          <w:noProof/>
          <w:lang w:val="en-IE"/>
        </w:rPr>
        <w:t>Article </w:t>
      </w:r>
      <w:r w:rsidR="000F45AB" w:rsidRPr="006041B3">
        <w:rPr>
          <w:bCs/>
          <w:noProof/>
          <w:lang w:val="en-IE"/>
        </w:rPr>
        <w:t>5 FSR</w:t>
      </w:r>
      <w:r w:rsidR="00EB763F" w:rsidRPr="006041B3">
        <w:rPr>
          <w:bCs/>
          <w:noProof/>
          <w:lang w:val="en-IE"/>
        </w:rPr>
        <w:t> (</w:t>
      </w:r>
      <w:r w:rsidR="00EB763F" w:rsidRPr="006041B3">
        <w:rPr>
          <w:rStyle w:val="FootnoteReference"/>
          <w:bCs/>
          <w:noProof/>
          <w:lang w:val="en-IE"/>
        </w:rPr>
        <w:footnoteReference w:id="55"/>
      </w:r>
      <w:r w:rsidR="00EB763F" w:rsidRPr="006041B3">
        <w:rPr>
          <w:bCs/>
          <w:noProof/>
          <w:lang w:val="en-IE"/>
        </w:rPr>
        <w:t>)</w:t>
      </w:r>
      <w:r w:rsidR="000F45AB" w:rsidRPr="006041B3">
        <w:rPr>
          <w:bCs/>
          <w:noProof/>
          <w:lang w:val="en-IE"/>
        </w:rPr>
        <w:t>.</w:t>
      </w:r>
      <w:r w:rsidR="006971DF" w:rsidRPr="006041B3">
        <w:rPr>
          <w:bCs/>
          <w:noProof/>
          <w:lang w:val="en-IE"/>
        </w:rPr>
        <w:t xml:space="preserve"> </w:t>
      </w:r>
      <w:r w:rsidR="000F45AB" w:rsidRPr="006041B3">
        <w:rPr>
          <w:bCs/>
          <w:noProof/>
          <w:lang w:val="en-IE"/>
        </w:rPr>
        <w:t>Among</w:t>
      </w:r>
      <w:r w:rsidR="000F45AB" w:rsidRPr="00EB763F">
        <w:rPr>
          <w:bCs/>
          <w:noProof/>
          <w:lang w:val="en-IE"/>
        </w:rPr>
        <w:t xml:space="preserve"> those types of FFCs, </w:t>
      </w:r>
      <w:r w:rsidR="001A6FF1" w:rsidRPr="00EB763F">
        <w:rPr>
          <w:bCs/>
          <w:noProof/>
          <w:lang w:val="en-IE"/>
        </w:rPr>
        <w:t xml:space="preserve">the most recurrent reported FFCs included tax advantages (32%), followed by capital commitments (18%) and credit facilities (15%). For completeness, information about cases where no FFCs </w:t>
      </w:r>
      <w:r w:rsidR="0052529E" w:rsidRPr="00EB763F">
        <w:rPr>
          <w:bCs/>
          <w:noProof/>
          <w:lang w:val="en-IE"/>
        </w:rPr>
        <w:t>were reported</w:t>
      </w:r>
      <w:r w:rsidR="001A6FF1" w:rsidRPr="00EB763F">
        <w:rPr>
          <w:bCs/>
          <w:noProof/>
          <w:lang w:val="en-IE"/>
        </w:rPr>
        <w:t xml:space="preserve"> has also been </w:t>
      </w:r>
      <w:r w:rsidR="00F766B2" w:rsidRPr="00EB763F">
        <w:rPr>
          <w:bCs/>
          <w:noProof/>
          <w:lang w:val="en-IE"/>
        </w:rPr>
        <w:t>included.</w:t>
      </w:r>
    </w:p>
    <w:p w14:paraId="5823402F" w14:textId="0E6A942E" w:rsidR="00744A07" w:rsidRDefault="00744A07" w:rsidP="00744A07">
      <w:pPr>
        <w:pStyle w:val="Caption"/>
        <w:rPr>
          <w:noProof/>
        </w:rPr>
      </w:pPr>
      <w:bookmarkStart w:id="80" w:name="_Ref229995275"/>
      <w:r>
        <w:rPr>
          <w:noProof/>
        </w:rPr>
        <w:t xml:space="preserve">Figure </w:t>
      </w:r>
      <w:r>
        <w:rPr>
          <w:noProof/>
        </w:rPr>
        <w:fldChar w:fldCharType="begin"/>
      </w:r>
      <w:r>
        <w:rPr>
          <w:noProof/>
        </w:rPr>
        <w:instrText xml:space="preserve"> SEQ Figure \* ARABIC </w:instrText>
      </w:r>
      <w:r>
        <w:rPr>
          <w:noProof/>
        </w:rPr>
        <w:fldChar w:fldCharType="separate"/>
      </w:r>
      <w:r w:rsidR="00227418">
        <w:rPr>
          <w:noProof/>
        </w:rPr>
        <w:t>2</w:t>
      </w:r>
      <w:r>
        <w:rPr>
          <w:noProof/>
        </w:rPr>
        <w:fldChar w:fldCharType="end"/>
      </w:r>
      <w:bookmarkEnd w:id="80"/>
    </w:p>
    <w:p w14:paraId="5D07F9EA" w14:textId="5CF103E8" w:rsidR="000F45AB" w:rsidRDefault="00F81BA6" w:rsidP="005A5C27">
      <w:pPr>
        <w:pStyle w:val="Figure"/>
        <w:rPr>
          <w:noProof/>
          <w:lang w:val="en-IE"/>
        </w:rPr>
      </w:pPr>
      <w:r w:rsidRPr="00006AC7">
        <w:rPr>
          <w:b/>
          <w:bCs/>
          <w:noProof/>
          <w:lang w:eastAsia="en-GB"/>
        </w:rPr>
        <w:drawing>
          <wp:inline distT="0" distB="0" distL="0" distR="0" wp14:anchorId="25579C99" wp14:editId="55115DF5">
            <wp:extent cx="5418306" cy="3764604"/>
            <wp:effectExtent l="0" t="0" r="0" b="7620"/>
            <wp:docPr id="1873647082" name="Chart 1">
              <a:extLst xmlns:a="http://schemas.openxmlformats.org/drawingml/2006/main">
                <a:ext uri="{FF2B5EF4-FFF2-40B4-BE49-F238E27FC236}">
                  <a16:creationId xmlns:a16="http://schemas.microsoft.com/office/drawing/2014/main" id="{87917A29-4F22-4BC8-A940-5A5F84F933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481484" w:rsidRPr="00481484">
        <w:rPr>
          <w:noProof/>
          <w:lang w:val="en-IE"/>
        </w:rPr>
        <w:t> </w:t>
      </w:r>
      <w:r w:rsidR="00481484" w:rsidRPr="005A5C27">
        <w:rPr>
          <w:noProof/>
          <w:lang w:val="en-IE"/>
        </w:rPr>
        <w:t>(</w:t>
      </w:r>
      <w:r w:rsidR="00481484" w:rsidRPr="005A5C27">
        <w:rPr>
          <w:rStyle w:val="FootnoteReference"/>
          <w:noProof/>
          <w:lang w:val="en-IE"/>
        </w:rPr>
        <w:footnoteReference w:id="56"/>
      </w:r>
      <w:r w:rsidR="00481484" w:rsidRPr="005A5C27">
        <w:rPr>
          <w:noProof/>
          <w:lang w:val="en-IE"/>
        </w:rPr>
        <w:t>)</w:t>
      </w:r>
    </w:p>
    <w:p w14:paraId="5E864B5D" w14:textId="0BA85E19" w:rsidR="001A6FF1" w:rsidRPr="007348B5" w:rsidRDefault="001A6FF1" w:rsidP="005A5C27">
      <w:pPr>
        <w:pStyle w:val="Source"/>
        <w:rPr>
          <w:noProof/>
          <w:lang w:val="en-IE"/>
        </w:rPr>
      </w:pPr>
      <w:r w:rsidRPr="007348B5">
        <w:rPr>
          <w:noProof/>
          <w:lang w:val="en-IE"/>
        </w:rPr>
        <w:t>Source: Commission services</w:t>
      </w:r>
      <w:r w:rsidR="00463397">
        <w:rPr>
          <w:noProof/>
          <w:lang w:val="en-IE"/>
        </w:rPr>
        <w:t>.</w:t>
      </w:r>
    </w:p>
    <w:p w14:paraId="50C03D1D" w14:textId="17068316" w:rsidR="003B7929" w:rsidRDefault="003B7929" w:rsidP="006041B3">
      <w:pPr>
        <w:pStyle w:val="ContNumLevel2"/>
        <w:keepNext/>
        <w:rPr>
          <w:noProof/>
          <w:lang w:val="en-IE"/>
        </w:rPr>
      </w:pPr>
      <w:r>
        <w:rPr>
          <w:noProof/>
          <w:lang w:val="en-IE"/>
        </w:rPr>
        <w:t>Type of</w:t>
      </w:r>
      <w:r w:rsidR="00C31833">
        <w:rPr>
          <w:noProof/>
          <w:lang w:val="en-IE"/>
        </w:rPr>
        <w:t xml:space="preserve"> reported</w:t>
      </w:r>
      <w:r>
        <w:rPr>
          <w:noProof/>
          <w:lang w:val="en-IE"/>
        </w:rPr>
        <w:t xml:space="preserve"> FFCs in </w:t>
      </w:r>
      <w:r w:rsidR="007C31DD">
        <w:rPr>
          <w:noProof/>
          <w:lang w:val="en-IE"/>
        </w:rPr>
        <w:t>investment funds/</w:t>
      </w:r>
      <w:r w:rsidR="00C57862">
        <w:rPr>
          <w:noProof/>
          <w:lang w:val="en-IE"/>
        </w:rPr>
        <w:t xml:space="preserve"> </w:t>
      </w:r>
      <w:r w:rsidR="00FA2411">
        <w:rPr>
          <w:noProof/>
          <w:lang w:val="en-IE"/>
        </w:rPr>
        <w:t>p</w:t>
      </w:r>
      <w:r w:rsidR="005654E0">
        <w:rPr>
          <w:noProof/>
          <w:lang w:val="en-IE"/>
        </w:rPr>
        <w:t xml:space="preserve">rivate </w:t>
      </w:r>
      <w:r w:rsidR="00FA2411">
        <w:rPr>
          <w:noProof/>
          <w:lang w:val="en-IE"/>
        </w:rPr>
        <w:t>e</w:t>
      </w:r>
      <w:r w:rsidR="00D20DFF">
        <w:rPr>
          <w:noProof/>
          <w:lang w:val="en-IE"/>
        </w:rPr>
        <w:t>quity</w:t>
      </w:r>
      <w:r w:rsidR="005654E0">
        <w:rPr>
          <w:noProof/>
          <w:lang w:val="en-IE"/>
        </w:rPr>
        <w:t xml:space="preserve"> </w:t>
      </w:r>
      <w:r>
        <w:rPr>
          <w:noProof/>
          <w:lang w:val="en-IE"/>
        </w:rPr>
        <w:t>cases</w:t>
      </w:r>
    </w:p>
    <w:p w14:paraId="593BB621" w14:textId="329D30F3" w:rsidR="007C31DD" w:rsidRDefault="007C31DD" w:rsidP="007C31DD">
      <w:pPr>
        <w:pStyle w:val="ContNum"/>
        <w:numPr>
          <w:ilvl w:val="0"/>
          <w:numId w:val="0"/>
        </w:numPr>
        <w:rPr>
          <w:noProof/>
          <w:lang w:val="en-IE"/>
        </w:rPr>
      </w:pPr>
      <w:r>
        <w:rPr>
          <w:noProof/>
          <w:lang w:val="en-IE"/>
        </w:rPr>
        <w:t>With</w:t>
      </w:r>
      <w:r w:rsidR="00FD7867">
        <w:rPr>
          <w:noProof/>
          <w:lang w:val="en-IE"/>
        </w:rPr>
        <w:t>in</w:t>
      </w:r>
      <w:r>
        <w:rPr>
          <w:noProof/>
          <w:lang w:val="en-IE"/>
        </w:rPr>
        <w:t xml:space="preserve"> the subset of cases with investment fund</w:t>
      </w:r>
      <w:r w:rsidR="00463397">
        <w:rPr>
          <w:noProof/>
          <w:lang w:val="en-IE"/>
        </w:rPr>
        <w:t> </w:t>
      </w:r>
      <w:r>
        <w:rPr>
          <w:noProof/>
          <w:lang w:val="en-IE"/>
        </w:rPr>
        <w:t>/</w:t>
      </w:r>
      <w:r w:rsidR="00463397">
        <w:rPr>
          <w:noProof/>
          <w:lang w:val="en-IE"/>
        </w:rPr>
        <w:t xml:space="preserve"> </w:t>
      </w:r>
      <w:r>
        <w:rPr>
          <w:noProof/>
          <w:lang w:val="en-IE"/>
        </w:rPr>
        <w:t xml:space="preserve">private equity acquirer, the most </w:t>
      </w:r>
      <w:r w:rsidR="00FD7867">
        <w:rPr>
          <w:noProof/>
          <w:lang w:val="en-IE"/>
        </w:rPr>
        <w:t xml:space="preserve">common </w:t>
      </w:r>
      <w:r>
        <w:rPr>
          <w:noProof/>
          <w:lang w:val="en-IE"/>
        </w:rPr>
        <w:t>type of FFCs reported were contributions by Limited Partners</w:t>
      </w:r>
      <w:r w:rsidRPr="003E3536">
        <w:rPr>
          <w:noProof/>
          <w:lang w:val="en-IE"/>
        </w:rPr>
        <w:t> (</w:t>
      </w:r>
      <w:r>
        <w:rPr>
          <w:rStyle w:val="FootnoteReference"/>
          <w:noProof/>
          <w:lang w:val="en-IE"/>
        </w:rPr>
        <w:footnoteReference w:id="57"/>
      </w:r>
      <w:r>
        <w:rPr>
          <w:noProof/>
          <w:lang w:val="en-IE"/>
        </w:rPr>
        <w:t>) (</w:t>
      </w:r>
      <w:r w:rsidR="001238DC">
        <w:rPr>
          <w:noProof/>
          <w:lang w:val="en-IE"/>
        </w:rPr>
        <w:t>‘</w:t>
      </w:r>
      <w:r>
        <w:rPr>
          <w:noProof/>
          <w:lang w:val="en-IE"/>
        </w:rPr>
        <w:t>LP contributions</w:t>
      </w:r>
      <w:r w:rsidR="001238DC">
        <w:rPr>
          <w:noProof/>
          <w:lang w:val="en-IE"/>
        </w:rPr>
        <w:t>’</w:t>
      </w:r>
      <w:r>
        <w:rPr>
          <w:noProof/>
          <w:lang w:val="en-IE"/>
        </w:rPr>
        <w:t>), attributable to third countries. Such LP contributions were found to be provided on similar terms and to confer similar rights to those associated with LP contributions by partners</w:t>
      </w:r>
      <w:r w:rsidRPr="003F15B5">
        <w:rPr>
          <w:noProof/>
          <w:lang w:val="en-IE"/>
        </w:rPr>
        <w:t xml:space="preserve"> </w:t>
      </w:r>
      <w:r>
        <w:rPr>
          <w:noProof/>
          <w:lang w:val="en-IE"/>
        </w:rPr>
        <w:t xml:space="preserve">non-attributable to third countries. </w:t>
      </w:r>
      <w:r w:rsidR="00FA2411">
        <w:rPr>
          <w:noProof/>
          <w:lang w:val="en-IE"/>
        </w:rPr>
        <w:t>T</w:t>
      </w:r>
      <w:r>
        <w:rPr>
          <w:noProof/>
          <w:lang w:val="en-IE"/>
        </w:rPr>
        <w:t xml:space="preserve">his type of FFCs was found to </w:t>
      </w:r>
      <w:r w:rsidR="000E165A">
        <w:rPr>
          <w:noProof/>
          <w:lang w:val="en-IE"/>
        </w:rPr>
        <w:t xml:space="preserve">not </w:t>
      </w:r>
      <w:r>
        <w:rPr>
          <w:noProof/>
          <w:lang w:val="en-IE"/>
        </w:rPr>
        <w:t xml:space="preserve">give rise to distortive foreign subsidies in the assessed cases. In some cases, there were also reported FFCs to </w:t>
      </w:r>
      <w:r w:rsidR="00FA2411">
        <w:rPr>
          <w:noProof/>
          <w:lang w:val="en-IE"/>
        </w:rPr>
        <w:t xml:space="preserve">the </w:t>
      </w:r>
      <w:r>
        <w:rPr>
          <w:noProof/>
          <w:lang w:val="en-IE"/>
        </w:rPr>
        <w:t>portfolio controlled by the same fund. In general, the assessment showed that there were limited possibilities for cross-subsidisation of the transaction (both at acquisition level and activity post-transaction). As a result, cases with investment fund</w:t>
      </w:r>
      <w:r w:rsidR="00463397">
        <w:rPr>
          <w:noProof/>
          <w:lang w:val="en-IE"/>
        </w:rPr>
        <w:t> </w:t>
      </w:r>
      <w:r>
        <w:rPr>
          <w:noProof/>
          <w:lang w:val="en-IE"/>
        </w:rPr>
        <w:t>/</w:t>
      </w:r>
      <w:r w:rsidR="00463397">
        <w:rPr>
          <w:noProof/>
          <w:lang w:val="en-IE"/>
        </w:rPr>
        <w:t xml:space="preserve"> </w:t>
      </w:r>
      <w:r>
        <w:rPr>
          <w:noProof/>
          <w:lang w:val="en-IE"/>
        </w:rPr>
        <w:t xml:space="preserve">private equity acquirers with reported FFCs limited to the above two categories </w:t>
      </w:r>
      <w:r w:rsidRPr="008A0315">
        <w:rPr>
          <w:noProof/>
          <w:lang w:val="en-IE"/>
        </w:rPr>
        <w:t>were found to</w:t>
      </w:r>
      <w:r w:rsidR="000E165A">
        <w:rPr>
          <w:noProof/>
          <w:lang w:val="en-IE"/>
        </w:rPr>
        <w:t xml:space="preserve"> not</w:t>
      </w:r>
      <w:r w:rsidRPr="008A0315">
        <w:rPr>
          <w:noProof/>
          <w:lang w:val="en-IE"/>
        </w:rPr>
        <w:t xml:space="preserve"> raise concerns under the FSR and only necessitated confirmation of </w:t>
      </w:r>
      <w:r>
        <w:rPr>
          <w:noProof/>
          <w:lang w:val="en-IE"/>
        </w:rPr>
        <w:t xml:space="preserve">some </w:t>
      </w:r>
      <w:r w:rsidRPr="008A0315">
        <w:rPr>
          <w:noProof/>
          <w:lang w:val="en-IE"/>
        </w:rPr>
        <w:t>facts during the pre-notification discussions with notifying parties.</w:t>
      </w:r>
    </w:p>
    <w:p w14:paraId="416824C3" w14:textId="58C1336C" w:rsidR="003B7929" w:rsidRPr="003B7929" w:rsidRDefault="003B7929" w:rsidP="004A1922">
      <w:pPr>
        <w:rPr>
          <w:noProof/>
          <w:lang w:val="en-IE"/>
        </w:rPr>
      </w:pPr>
      <w:bookmarkStart w:id="81" w:name="_Hlk227860104"/>
      <w:r w:rsidRPr="003B7929">
        <w:rPr>
          <w:noProof/>
          <w:lang w:val="en-IE"/>
        </w:rPr>
        <w:t>The FSR Review Study found that, among the cases analysed in which the acquirer was a fund, 69% involved potentially Article</w:t>
      </w:r>
      <w:r w:rsidR="00463397">
        <w:rPr>
          <w:noProof/>
          <w:lang w:val="en-IE"/>
        </w:rPr>
        <w:t> </w:t>
      </w:r>
      <w:r w:rsidRPr="003B7929">
        <w:rPr>
          <w:noProof/>
          <w:lang w:val="en-IE"/>
        </w:rPr>
        <w:t xml:space="preserve">5 </w:t>
      </w:r>
      <w:r w:rsidR="00463397">
        <w:rPr>
          <w:noProof/>
          <w:lang w:val="en-IE"/>
        </w:rPr>
        <w:t xml:space="preserve">FSR </w:t>
      </w:r>
      <w:r w:rsidRPr="003B7929">
        <w:rPr>
          <w:noProof/>
          <w:lang w:val="en-IE"/>
        </w:rPr>
        <w:t>foreign subsidies</w:t>
      </w:r>
      <w:r w:rsidR="00FA2411">
        <w:rPr>
          <w:noProof/>
          <w:lang w:val="en-IE"/>
        </w:rPr>
        <w:t xml:space="preserve"> </w:t>
      </w:r>
      <w:r w:rsidR="00463397">
        <w:rPr>
          <w:noProof/>
          <w:lang w:val="en-IE"/>
        </w:rPr>
        <w:t>–</w:t>
      </w:r>
      <w:r w:rsidR="00FA2411">
        <w:rPr>
          <w:noProof/>
          <w:lang w:val="en-IE"/>
        </w:rPr>
        <w:t xml:space="preserve"> </w:t>
      </w:r>
      <w:r w:rsidRPr="003B7929">
        <w:rPr>
          <w:noProof/>
          <w:lang w:val="en-IE"/>
        </w:rPr>
        <w:t xml:space="preserve">those most likely to distort the internal market. </w:t>
      </w:r>
      <w:r w:rsidR="00B03E67">
        <w:rPr>
          <w:noProof/>
          <w:lang w:val="en-IE"/>
        </w:rPr>
        <w:t xml:space="preserve">All of them, </w:t>
      </w:r>
      <w:r w:rsidR="00B03E67" w:rsidRPr="003B7929">
        <w:rPr>
          <w:noProof/>
          <w:lang w:val="en-IE"/>
        </w:rPr>
        <w:t xml:space="preserve">fell under </w:t>
      </w:r>
      <w:r w:rsidR="00463397" w:rsidRPr="003B7929">
        <w:rPr>
          <w:noProof/>
          <w:lang w:val="en-IE"/>
        </w:rPr>
        <w:t>Article</w:t>
      </w:r>
      <w:r w:rsidR="00463397">
        <w:rPr>
          <w:noProof/>
          <w:lang w:val="en-IE"/>
        </w:rPr>
        <w:t> </w:t>
      </w:r>
      <w:r w:rsidR="00B03E67" w:rsidRPr="003B7929">
        <w:rPr>
          <w:noProof/>
          <w:lang w:val="en-IE"/>
        </w:rPr>
        <w:t>5(1)(d) FSR</w:t>
      </w:r>
      <w:r w:rsidR="00FA2411">
        <w:rPr>
          <w:noProof/>
          <w:lang w:val="en-IE"/>
        </w:rPr>
        <w:t xml:space="preserve"> - </w:t>
      </w:r>
      <w:r w:rsidR="00B03E67" w:rsidRPr="003B7929">
        <w:rPr>
          <w:noProof/>
          <w:lang w:val="en-IE"/>
        </w:rPr>
        <w:t>namely, those that could directly facilitate the transaction</w:t>
      </w:r>
      <w:r w:rsidR="00B03E67">
        <w:rPr>
          <w:noProof/>
          <w:lang w:val="en-IE"/>
        </w:rPr>
        <w:t xml:space="preserve"> and </w:t>
      </w:r>
      <w:r w:rsidR="00B03E67" w:rsidRPr="003B7929">
        <w:rPr>
          <w:noProof/>
          <w:lang w:val="en-IE"/>
        </w:rPr>
        <w:t xml:space="preserve">arose from capital commitments made by Limited Partners investing in the fund, which were potentially attributable to </w:t>
      </w:r>
      <w:r w:rsidR="00463397">
        <w:rPr>
          <w:noProof/>
          <w:lang w:val="en-IE"/>
        </w:rPr>
        <w:t>foreign countries</w:t>
      </w:r>
      <w:r w:rsidR="00B03E67">
        <w:rPr>
          <w:noProof/>
          <w:lang w:val="en-IE"/>
        </w:rPr>
        <w:t xml:space="preserve">, in particular, </w:t>
      </w:r>
      <w:r w:rsidR="00B03E67" w:rsidRPr="003B7929">
        <w:rPr>
          <w:noProof/>
          <w:lang w:val="en-IE"/>
        </w:rPr>
        <w:t>sovereign wealth funds or pension funds</w:t>
      </w:r>
      <w:r w:rsidR="00B03E67">
        <w:rPr>
          <w:noProof/>
          <w:lang w:val="en-IE"/>
        </w:rPr>
        <w:t xml:space="preserve">. </w:t>
      </w:r>
      <w:r w:rsidR="00B03E67" w:rsidRPr="003B7929">
        <w:rPr>
          <w:noProof/>
          <w:lang w:val="en-IE"/>
        </w:rPr>
        <w:t xml:space="preserve">In two cases, </w:t>
      </w:r>
      <w:r w:rsidR="00463397" w:rsidRPr="003B7929">
        <w:rPr>
          <w:noProof/>
          <w:lang w:val="en-IE"/>
        </w:rPr>
        <w:t>Article</w:t>
      </w:r>
      <w:r w:rsidR="00463397">
        <w:rPr>
          <w:noProof/>
          <w:lang w:val="en-IE"/>
        </w:rPr>
        <w:t> </w:t>
      </w:r>
      <w:r w:rsidR="00B03E67" w:rsidRPr="003B7929">
        <w:rPr>
          <w:noProof/>
          <w:lang w:val="en-IE"/>
        </w:rPr>
        <w:t>5(1)(d) FFCs also took the form of loans granted to the acquiring fund for the purpose of financing the transaction.</w:t>
      </w:r>
      <w:r w:rsidR="00B03E67">
        <w:rPr>
          <w:noProof/>
          <w:lang w:val="en-IE"/>
        </w:rPr>
        <w:t xml:space="preserve"> </w:t>
      </w:r>
      <w:r w:rsidR="00B03E67" w:rsidRPr="003B7929">
        <w:rPr>
          <w:noProof/>
          <w:lang w:val="en-IE"/>
        </w:rPr>
        <w:t xml:space="preserve">In the remaining 31% of cases, no </w:t>
      </w:r>
      <w:r w:rsidR="00463397" w:rsidRPr="003B7929">
        <w:rPr>
          <w:noProof/>
          <w:lang w:val="en-IE"/>
        </w:rPr>
        <w:t>Article</w:t>
      </w:r>
      <w:r w:rsidR="00463397">
        <w:rPr>
          <w:noProof/>
          <w:lang w:val="en-IE"/>
        </w:rPr>
        <w:t> </w:t>
      </w:r>
      <w:r w:rsidR="00B03E67" w:rsidRPr="003B7929">
        <w:rPr>
          <w:noProof/>
          <w:lang w:val="en-IE"/>
        </w:rPr>
        <w:t>5 FFCs were reported.</w:t>
      </w:r>
    </w:p>
    <w:bookmarkEnd w:id="81"/>
    <w:p w14:paraId="4FFB23D3" w14:textId="27F0E8F9" w:rsidR="003B7929" w:rsidRPr="003B7929" w:rsidRDefault="00BA2B52" w:rsidP="004A1922">
      <w:pPr>
        <w:rPr>
          <w:noProof/>
          <w:lang w:val="en-IE"/>
        </w:rPr>
      </w:pPr>
      <w:r>
        <w:rPr>
          <w:noProof/>
          <w:lang w:val="en-IE"/>
        </w:rPr>
        <w:t>However, a</w:t>
      </w:r>
      <w:r w:rsidRPr="003B7929">
        <w:rPr>
          <w:noProof/>
          <w:lang w:val="en-IE"/>
        </w:rPr>
        <w:t xml:space="preserve">cross </w:t>
      </w:r>
      <w:r w:rsidR="003B7929" w:rsidRPr="003B7929">
        <w:rPr>
          <w:noProof/>
          <w:lang w:val="en-IE"/>
        </w:rPr>
        <w:t xml:space="preserve">all cases in which the FFCs consisted of capital contributions, these investments were </w:t>
      </w:r>
      <w:r w:rsidR="0052529E">
        <w:rPr>
          <w:noProof/>
          <w:lang w:val="en-IE"/>
        </w:rPr>
        <w:t>deemed</w:t>
      </w:r>
      <w:r w:rsidR="00FA2411">
        <w:rPr>
          <w:noProof/>
          <w:lang w:val="en-IE"/>
        </w:rPr>
        <w:t xml:space="preserve"> to be </w:t>
      </w:r>
      <w:r w:rsidR="003B7929" w:rsidRPr="003B7929">
        <w:rPr>
          <w:noProof/>
          <w:lang w:val="en-IE"/>
        </w:rPr>
        <w:t xml:space="preserve">made on </w:t>
      </w:r>
      <w:r w:rsidR="001238DC">
        <w:rPr>
          <w:noProof/>
          <w:lang w:val="en-IE"/>
        </w:rPr>
        <w:t>‘</w:t>
      </w:r>
      <w:r w:rsidR="003B7929" w:rsidRPr="003B7929">
        <w:rPr>
          <w:noProof/>
          <w:lang w:val="en-IE"/>
        </w:rPr>
        <w:t>pari passu</w:t>
      </w:r>
      <w:r w:rsidR="001238DC">
        <w:rPr>
          <w:noProof/>
          <w:lang w:val="en-IE"/>
        </w:rPr>
        <w:t>’</w:t>
      </w:r>
      <w:r w:rsidR="003B7929" w:rsidRPr="003B7929">
        <w:rPr>
          <w:noProof/>
          <w:lang w:val="en-IE"/>
        </w:rPr>
        <w:t xml:space="preserve"> terms, equivalent to those of private investors</w:t>
      </w:r>
      <w:r w:rsidR="00493485">
        <w:rPr>
          <w:noProof/>
          <w:lang w:val="en-IE"/>
        </w:rPr>
        <w:t xml:space="preserve">. </w:t>
      </w:r>
      <w:r w:rsidR="00595ACB" w:rsidDel="00050D65">
        <w:rPr>
          <w:noProof/>
          <w:lang w:val="en-IE"/>
        </w:rPr>
        <w:t>Therefore,</w:t>
      </w:r>
      <w:r w:rsidR="00050D65">
        <w:rPr>
          <w:noProof/>
          <w:lang w:val="en-IE"/>
        </w:rPr>
        <w:t xml:space="preserve"> </w:t>
      </w:r>
      <w:r w:rsidR="00050D65" w:rsidRPr="003B7929">
        <w:rPr>
          <w:noProof/>
          <w:lang w:val="en-IE"/>
        </w:rPr>
        <w:t>no</w:t>
      </w:r>
      <w:r w:rsidR="003B7929" w:rsidRPr="003B7929">
        <w:rPr>
          <w:noProof/>
          <w:lang w:val="en-IE"/>
        </w:rPr>
        <w:t xml:space="preserve"> benefit was conferred </w:t>
      </w:r>
      <w:r w:rsidR="000E165A">
        <w:rPr>
          <w:noProof/>
          <w:lang w:val="en-IE"/>
        </w:rPr>
        <w:t>so the</w:t>
      </w:r>
      <w:r w:rsidR="003B7929" w:rsidRPr="003B7929">
        <w:rPr>
          <w:noProof/>
          <w:lang w:val="en-IE"/>
        </w:rPr>
        <w:t xml:space="preserve"> FFC </w:t>
      </w:r>
      <w:r w:rsidR="00493485" w:rsidRPr="003B7929">
        <w:rPr>
          <w:noProof/>
          <w:lang w:val="en-IE"/>
        </w:rPr>
        <w:t>d</w:t>
      </w:r>
      <w:r w:rsidR="00493485">
        <w:rPr>
          <w:noProof/>
          <w:lang w:val="en-IE"/>
        </w:rPr>
        <w:t>id</w:t>
      </w:r>
      <w:r w:rsidR="00493485" w:rsidRPr="003B7929">
        <w:rPr>
          <w:noProof/>
          <w:lang w:val="en-IE"/>
        </w:rPr>
        <w:t xml:space="preserve"> </w:t>
      </w:r>
      <w:r w:rsidR="003B7929" w:rsidRPr="003B7929">
        <w:rPr>
          <w:noProof/>
          <w:lang w:val="en-IE"/>
        </w:rPr>
        <w:t>not constitute a foreign subsidy</w:t>
      </w:r>
      <w:r w:rsidR="00D6187D" w:rsidRPr="00D6187D">
        <w:rPr>
          <w:noProof/>
        </w:rPr>
        <w:t> (</w:t>
      </w:r>
      <w:r w:rsidR="00D6187D" w:rsidRPr="00A47B29">
        <w:rPr>
          <w:rStyle w:val="FootnoteReference"/>
          <w:noProof/>
        </w:rPr>
        <w:footnoteReference w:id="58"/>
      </w:r>
      <w:r w:rsidR="00D6187D">
        <w:rPr>
          <w:noProof/>
        </w:rPr>
        <w:t>)</w:t>
      </w:r>
      <w:r w:rsidR="006971DF">
        <w:rPr>
          <w:noProof/>
        </w:rPr>
        <w:t>.</w:t>
      </w:r>
    </w:p>
    <w:p w14:paraId="792C567D" w14:textId="602655BF" w:rsidR="00366848" w:rsidRPr="00CE000B" w:rsidRDefault="00366848" w:rsidP="006041B3">
      <w:pPr>
        <w:pStyle w:val="ContNumLevel2"/>
        <w:keepNext/>
        <w:rPr>
          <w:noProof/>
          <w:lang w:val="en-IE"/>
        </w:rPr>
      </w:pPr>
      <w:r>
        <w:rPr>
          <w:noProof/>
        </w:rPr>
        <w:t>E</w:t>
      </w:r>
      <w:r w:rsidRPr="00452E1A">
        <w:rPr>
          <w:noProof/>
        </w:rPr>
        <w:t xml:space="preserve">conomic activities of the </w:t>
      </w:r>
      <w:r w:rsidR="00853091">
        <w:rPr>
          <w:noProof/>
        </w:rPr>
        <w:t>t</w:t>
      </w:r>
      <w:r w:rsidR="007A3981">
        <w:rPr>
          <w:noProof/>
        </w:rPr>
        <w:t>arget</w:t>
      </w:r>
      <w:r w:rsidR="00750EE3">
        <w:rPr>
          <w:noProof/>
        </w:rPr>
        <w:t xml:space="preserve"> in </w:t>
      </w:r>
      <w:r w:rsidRPr="00452E1A">
        <w:rPr>
          <w:noProof/>
        </w:rPr>
        <w:t>the concentration</w:t>
      </w:r>
    </w:p>
    <w:p w14:paraId="2934F49E" w14:textId="566593B6" w:rsidR="00366848" w:rsidRPr="006041B3" w:rsidRDefault="00366848" w:rsidP="004A1922">
      <w:pPr>
        <w:rPr>
          <w:noProof/>
          <w:lang w:val="en-IE"/>
        </w:rPr>
      </w:pPr>
      <w:r>
        <w:rPr>
          <w:noProof/>
          <w:lang w:val="en-IE"/>
        </w:rPr>
        <w:t xml:space="preserve">The analysis of the economic activities </w:t>
      </w:r>
      <w:r w:rsidRPr="006041B3">
        <w:rPr>
          <w:noProof/>
          <w:lang w:val="en-IE"/>
        </w:rPr>
        <w:t xml:space="preserve">of the parties to the concentration (based on identified NACE codes) of notified cases is presented in </w:t>
      </w:r>
      <w:r w:rsidR="002125D3" w:rsidRPr="006041B3">
        <w:rPr>
          <w:b/>
          <w:noProof/>
          <w:lang w:val="en-IE"/>
        </w:rPr>
        <w:fldChar w:fldCharType="begin"/>
      </w:r>
      <w:r w:rsidR="002125D3" w:rsidRPr="006041B3">
        <w:rPr>
          <w:b/>
          <w:noProof/>
          <w:lang w:val="en-IE"/>
        </w:rPr>
        <w:instrText xml:space="preserve"> REF _Ref226712653 \h  \* MERGEFORMAT </w:instrText>
      </w:r>
      <w:r w:rsidR="002125D3" w:rsidRPr="006041B3">
        <w:rPr>
          <w:b/>
          <w:noProof/>
          <w:lang w:val="en-IE"/>
        </w:rPr>
      </w:r>
      <w:r w:rsidR="002125D3" w:rsidRPr="006041B3">
        <w:rPr>
          <w:b/>
          <w:noProof/>
          <w:lang w:val="en-IE"/>
        </w:rPr>
        <w:fldChar w:fldCharType="separate"/>
      </w:r>
      <w:r w:rsidR="00227418" w:rsidRPr="00370F6C">
        <w:rPr>
          <w:b/>
          <w:noProof/>
        </w:rPr>
        <w:t xml:space="preserve">Figure </w:t>
      </w:r>
      <w:r w:rsidR="00227418" w:rsidRPr="00370F6C">
        <w:rPr>
          <w:b/>
          <w:noProof/>
          <w:szCs w:val="22"/>
        </w:rPr>
        <w:t>3</w:t>
      </w:r>
      <w:r w:rsidR="002125D3" w:rsidRPr="006041B3">
        <w:rPr>
          <w:b/>
          <w:noProof/>
          <w:lang w:val="en-IE"/>
        </w:rPr>
        <w:fldChar w:fldCharType="end"/>
      </w:r>
      <w:r w:rsidRPr="006041B3">
        <w:rPr>
          <w:noProof/>
          <w:lang w:val="en-IE"/>
        </w:rPr>
        <w:t xml:space="preserve"> below. </w:t>
      </w:r>
    </w:p>
    <w:p w14:paraId="52224D80" w14:textId="48A67675" w:rsidR="00CF3CFC" w:rsidRPr="0033402F" w:rsidRDefault="00CF3CFC" w:rsidP="5849C651">
      <w:pPr>
        <w:pStyle w:val="Caption"/>
        <w:rPr>
          <w:noProof/>
          <w:szCs w:val="22"/>
        </w:rPr>
      </w:pPr>
      <w:bookmarkStart w:id="82" w:name="_Ref226712653"/>
      <w:bookmarkStart w:id="83" w:name="_Ref229988937"/>
      <w:r w:rsidRPr="006041B3">
        <w:rPr>
          <w:noProof/>
        </w:rPr>
        <w:t xml:space="preserve">Figure </w:t>
      </w:r>
      <w:r w:rsidRPr="006041B3">
        <w:rPr>
          <w:noProof/>
        </w:rPr>
        <w:fldChar w:fldCharType="begin"/>
      </w:r>
      <w:r w:rsidRPr="006041B3">
        <w:rPr>
          <w:noProof/>
          <w:szCs w:val="22"/>
        </w:rPr>
        <w:instrText xml:space="preserve"> SEQ Figure \* ARABIC </w:instrText>
      </w:r>
      <w:r w:rsidRPr="006041B3">
        <w:rPr>
          <w:noProof/>
          <w:szCs w:val="22"/>
        </w:rPr>
        <w:fldChar w:fldCharType="separate"/>
      </w:r>
      <w:r w:rsidR="00227418">
        <w:rPr>
          <w:noProof/>
          <w:szCs w:val="22"/>
        </w:rPr>
        <w:t>3</w:t>
      </w:r>
      <w:r w:rsidRPr="006041B3">
        <w:rPr>
          <w:noProof/>
        </w:rPr>
        <w:fldChar w:fldCharType="end"/>
      </w:r>
      <w:bookmarkEnd w:id="82"/>
      <w:r w:rsidRPr="006041B3">
        <w:rPr>
          <w:noProof/>
        </w:rPr>
        <w:t xml:space="preserve">: Economic activities of </w:t>
      </w:r>
      <w:r w:rsidR="00853091" w:rsidRPr="006041B3">
        <w:rPr>
          <w:noProof/>
        </w:rPr>
        <w:t>t</w:t>
      </w:r>
      <w:r w:rsidR="007A3981" w:rsidRPr="006041B3">
        <w:rPr>
          <w:noProof/>
        </w:rPr>
        <w:t>arget</w:t>
      </w:r>
      <w:r w:rsidRPr="006041B3">
        <w:rPr>
          <w:noProof/>
        </w:rPr>
        <w:t xml:space="preserve"> in the concentration</w:t>
      </w:r>
      <w:r w:rsidRPr="009A6162">
        <w:rPr>
          <w:noProof/>
        </w:rPr>
        <w:t xml:space="preserve"> </w:t>
      </w:r>
      <w:r w:rsidR="002751C1" w:rsidRPr="009A6162">
        <w:rPr>
          <w:noProof/>
        </w:rPr>
        <w:t>(</w:t>
      </w:r>
      <w:r w:rsidR="002751C1" w:rsidRPr="009A6162">
        <w:rPr>
          <w:rStyle w:val="FootnoteReference"/>
          <w:noProof/>
        </w:rPr>
        <w:footnoteReference w:id="59"/>
      </w:r>
      <w:r w:rsidR="002751C1" w:rsidRPr="009A6162">
        <w:rPr>
          <w:noProof/>
        </w:rPr>
        <w:t>)</w:t>
      </w:r>
      <w:bookmarkEnd w:id="83"/>
    </w:p>
    <w:p w14:paraId="1459CB7A" w14:textId="5A80E269" w:rsidR="006B5BA8" w:rsidRPr="006B5BA8" w:rsidRDefault="006B5BA8" w:rsidP="005A5C27">
      <w:pPr>
        <w:pStyle w:val="Figure"/>
        <w:rPr>
          <w:noProof/>
        </w:rPr>
      </w:pPr>
      <w:r>
        <w:rPr>
          <w:noProof/>
          <w:lang w:eastAsia="en-GB"/>
        </w:rPr>
        <w:drawing>
          <wp:inline distT="0" distB="0" distL="0" distR="0" wp14:anchorId="1D7AC305" wp14:editId="23EAB7C5">
            <wp:extent cx="5472430" cy="3269615"/>
            <wp:effectExtent l="0" t="0" r="0" b="6985"/>
            <wp:docPr id="1869949040" name="Chart 1">
              <a:extLst xmlns:a="http://schemas.openxmlformats.org/drawingml/2006/main">
                <a:ext uri="{FF2B5EF4-FFF2-40B4-BE49-F238E27FC236}">
                  <a16:creationId xmlns:a16="http://schemas.microsoft.com/office/drawing/2014/main" id="{D15860BE-0A5C-1F2B-2F16-755CF468C3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728FA03" w14:textId="5696E0C3" w:rsidR="00366848" w:rsidRPr="00F21A0D" w:rsidRDefault="00D20DFF" w:rsidP="005A5C27">
      <w:pPr>
        <w:pStyle w:val="Source"/>
        <w:rPr>
          <w:noProof/>
        </w:rPr>
      </w:pPr>
      <w:r w:rsidRPr="00DE4720">
        <w:rPr>
          <w:noProof/>
          <w:lang w:val="en-IE"/>
        </w:rPr>
        <w:t>Source: Commission services</w:t>
      </w:r>
      <w:r w:rsidR="00463397">
        <w:rPr>
          <w:noProof/>
          <w:lang w:val="en-IE"/>
        </w:rPr>
        <w:t>.</w:t>
      </w:r>
    </w:p>
    <w:p w14:paraId="70AF1A3C" w14:textId="1E26867F" w:rsidR="00366848" w:rsidRDefault="00183C75" w:rsidP="004A1922">
      <w:pPr>
        <w:rPr>
          <w:noProof/>
          <w:lang w:val="en-IE"/>
        </w:rPr>
      </w:pPr>
      <w:r>
        <w:rPr>
          <w:noProof/>
          <w:lang w:val="en-IE"/>
        </w:rPr>
        <w:t>It follows that</w:t>
      </w:r>
      <w:r w:rsidR="00366848">
        <w:rPr>
          <w:noProof/>
          <w:lang w:val="en-IE"/>
        </w:rPr>
        <w:t xml:space="preserve"> around 28% of cases concern </w:t>
      </w:r>
      <w:r w:rsidR="000E165A">
        <w:rPr>
          <w:noProof/>
          <w:lang w:val="en-IE"/>
        </w:rPr>
        <w:t>m</w:t>
      </w:r>
      <w:r w:rsidR="00366848">
        <w:rPr>
          <w:noProof/>
          <w:lang w:val="en-IE"/>
        </w:rPr>
        <w:t xml:space="preserve">anufacturing activities, followed by 19% of </w:t>
      </w:r>
      <w:r w:rsidR="000E165A">
        <w:rPr>
          <w:noProof/>
          <w:lang w:val="en-IE"/>
        </w:rPr>
        <w:t>w</w:t>
      </w:r>
      <w:r w:rsidR="00366848">
        <w:rPr>
          <w:noProof/>
          <w:lang w:val="en-IE"/>
        </w:rPr>
        <w:t xml:space="preserve">holesale and retail activities and 13% of </w:t>
      </w:r>
      <w:r w:rsidR="000E165A">
        <w:rPr>
          <w:noProof/>
          <w:lang w:val="en-IE"/>
        </w:rPr>
        <w:t>f</w:t>
      </w:r>
      <w:r w:rsidR="00366848">
        <w:rPr>
          <w:noProof/>
          <w:lang w:val="en-IE"/>
        </w:rPr>
        <w:t>inancial and insurance activities.</w:t>
      </w:r>
    </w:p>
    <w:p w14:paraId="614B57F5" w14:textId="122CA6B5" w:rsidR="00751227" w:rsidRDefault="00751227" w:rsidP="006041B3">
      <w:pPr>
        <w:pStyle w:val="ContNumLevel2"/>
        <w:keepNext/>
        <w:rPr>
          <w:noProof/>
          <w:lang w:val="en-IE"/>
        </w:rPr>
      </w:pPr>
      <w:r>
        <w:rPr>
          <w:noProof/>
          <w:lang w:val="en-IE"/>
        </w:rPr>
        <w:t>Concentration types</w:t>
      </w:r>
    </w:p>
    <w:p w14:paraId="057FCFFC" w14:textId="47027B38" w:rsidR="0098349E" w:rsidRPr="00751227" w:rsidRDefault="0079105D" w:rsidP="004A1922">
      <w:pPr>
        <w:rPr>
          <w:noProof/>
        </w:rPr>
      </w:pPr>
      <w:r>
        <w:rPr>
          <w:noProof/>
        </w:rPr>
        <w:t>T</w:t>
      </w:r>
      <w:r w:rsidR="00751227">
        <w:rPr>
          <w:noProof/>
        </w:rPr>
        <w:t xml:space="preserve">he </w:t>
      </w:r>
      <w:r w:rsidR="00751227" w:rsidRPr="001D559E">
        <w:rPr>
          <w:noProof/>
        </w:rPr>
        <w:t xml:space="preserve">FSR </w:t>
      </w:r>
      <w:r w:rsidR="00751227">
        <w:rPr>
          <w:noProof/>
        </w:rPr>
        <w:t>R</w:t>
      </w:r>
      <w:r w:rsidR="00751227" w:rsidRPr="001D559E">
        <w:rPr>
          <w:noProof/>
        </w:rPr>
        <w:t xml:space="preserve">eview </w:t>
      </w:r>
      <w:r w:rsidR="00751227">
        <w:rPr>
          <w:noProof/>
        </w:rPr>
        <w:t>S</w:t>
      </w:r>
      <w:r w:rsidR="00751227" w:rsidRPr="001D559E">
        <w:rPr>
          <w:noProof/>
        </w:rPr>
        <w:t>tudy</w:t>
      </w:r>
      <w:r>
        <w:rPr>
          <w:noProof/>
        </w:rPr>
        <w:t xml:space="preserve"> performed</w:t>
      </w:r>
      <w:r w:rsidR="00751227" w:rsidRPr="001D559E">
        <w:rPr>
          <w:noProof/>
        </w:rPr>
        <w:t xml:space="preserve"> </w:t>
      </w:r>
      <w:r w:rsidR="00751227">
        <w:rPr>
          <w:noProof/>
        </w:rPr>
        <w:t xml:space="preserve">an analysis of the </w:t>
      </w:r>
      <w:r w:rsidR="00751227" w:rsidRPr="001D559E">
        <w:rPr>
          <w:noProof/>
        </w:rPr>
        <w:t>types of concentration among the notified cases</w:t>
      </w:r>
      <w:r w:rsidR="00751227">
        <w:rPr>
          <w:noProof/>
        </w:rPr>
        <w:t xml:space="preserve">. </w:t>
      </w:r>
      <w:r w:rsidR="00751227" w:rsidRPr="001D559E">
        <w:rPr>
          <w:noProof/>
        </w:rPr>
        <w:t>The most common type was the acquisition of sole control over an entire company, accounting for 41% of cases. This was followed by acquisitions of joint control, which represented 14% of cases</w:t>
      </w:r>
      <w:r w:rsidR="00AB0C8B">
        <w:rPr>
          <w:noProof/>
        </w:rPr>
        <w:t xml:space="preserve"> and </w:t>
      </w:r>
      <w:r w:rsidR="00751227" w:rsidRPr="001D559E">
        <w:rPr>
          <w:noProof/>
        </w:rPr>
        <w:t>merger</w:t>
      </w:r>
      <w:r w:rsidR="00B03E67">
        <w:rPr>
          <w:noProof/>
        </w:rPr>
        <w:t>s which represented 1% of cases</w:t>
      </w:r>
      <w:r w:rsidR="00CA1188" w:rsidRPr="00CA1188">
        <w:rPr>
          <w:noProof/>
        </w:rPr>
        <w:t> (</w:t>
      </w:r>
      <w:r w:rsidR="00CA1188">
        <w:rPr>
          <w:rStyle w:val="FootnoteReference"/>
          <w:noProof/>
        </w:rPr>
        <w:footnoteReference w:id="60"/>
      </w:r>
      <w:r w:rsidR="00CA1188">
        <w:rPr>
          <w:noProof/>
        </w:rPr>
        <w:t>)</w:t>
      </w:r>
      <w:r w:rsidR="006971DF">
        <w:rPr>
          <w:noProof/>
        </w:rPr>
        <w:t>.</w:t>
      </w:r>
    </w:p>
    <w:p w14:paraId="5CEF7094" w14:textId="49D382EA" w:rsidR="0098349E" w:rsidRDefault="0098349E" w:rsidP="00493485">
      <w:pPr>
        <w:pStyle w:val="Caption"/>
        <w:rPr>
          <w:noProof/>
        </w:rPr>
      </w:pPr>
      <w:r w:rsidRPr="007B4318">
        <w:rPr>
          <w:noProof/>
        </w:rPr>
        <w:t xml:space="preserve">Table </w:t>
      </w:r>
      <w:r w:rsidRPr="007B4318">
        <w:rPr>
          <w:noProof/>
        </w:rPr>
        <w:fldChar w:fldCharType="begin"/>
      </w:r>
      <w:r w:rsidRPr="007B4318">
        <w:rPr>
          <w:noProof/>
        </w:rPr>
        <w:instrText xml:space="preserve"> SEQ Table \* ARABIC </w:instrText>
      </w:r>
      <w:r w:rsidRPr="007B4318">
        <w:rPr>
          <w:noProof/>
        </w:rPr>
        <w:fldChar w:fldCharType="separate"/>
      </w:r>
      <w:r w:rsidR="00227418">
        <w:rPr>
          <w:noProof/>
        </w:rPr>
        <w:t>3</w:t>
      </w:r>
      <w:r w:rsidRPr="007B4318">
        <w:rPr>
          <w:noProof/>
        </w:rPr>
        <w:fldChar w:fldCharType="end"/>
      </w:r>
      <w:r w:rsidRPr="007B4318">
        <w:rPr>
          <w:noProof/>
        </w:rPr>
        <w:t>: Concentration Type</w:t>
      </w:r>
      <w:r w:rsidRPr="00691DC8">
        <w:rPr>
          <w:noProof/>
        </w:rPr>
        <w:t xml:space="preserve"> </w:t>
      </w:r>
    </w:p>
    <w:tbl>
      <w:tblPr>
        <w:tblStyle w:val="EurolookClassicGrey"/>
        <w:tblW w:w="5292" w:type="pct"/>
        <w:tblLayout w:type="fixed"/>
        <w:tblLook w:val="04A0" w:firstRow="1" w:lastRow="0" w:firstColumn="1" w:lastColumn="0" w:noHBand="0" w:noVBand="1"/>
      </w:tblPr>
      <w:tblGrid>
        <w:gridCol w:w="7789"/>
        <w:gridCol w:w="1315"/>
      </w:tblGrid>
      <w:tr w:rsidR="005A5C27" w:rsidRPr="00A47B29" w14:paraId="185A1DFA" w14:textId="77777777" w:rsidTr="00DC5A33">
        <w:trPr>
          <w:cnfStyle w:val="100000000000" w:firstRow="1" w:lastRow="0" w:firstColumn="0" w:lastColumn="0" w:oddVBand="0" w:evenVBand="0" w:oddHBand="0"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0" w:type="pct"/>
            <w:noWrap/>
            <w:hideMark/>
          </w:tcPr>
          <w:p w14:paraId="730AE222" w14:textId="77777777" w:rsidR="005A5C27" w:rsidRPr="00006AC7" w:rsidRDefault="005A5C27" w:rsidP="00DC5A33">
            <w:pPr>
              <w:pStyle w:val="TableHeading"/>
              <w:keepNext/>
              <w:keepLines/>
              <w:rPr>
                <w:rFonts w:ascii="Times New Roman" w:hAnsi="Times New Roman" w:cs="Times New Roman"/>
                <w:noProof/>
                <w:color w:val="FFFFFF" w:themeColor="background1"/>
                <w:sz w:val="22"/>
                <w:lang w:eastAsia="en-GB"/>
              </w:rPr>
            </w:pPr>
            <w:r w:rsidRPr="00006AC7">
              <w:rPr>
                <w:rFonts w:ascii="Times New Roman" w:hAnsi="Times New Roman" w:cs="Times New Roman"/>
                <w:noProof/>
                <w:color w:val="FFFFFF" w:themeColor="background1"/>
                <w:sz w:val="22"/>
              </w:rPr>
              <w:fldChar w:fldCharType="begin"/>
            </w:r>
            <w:r w:rsidRPr="00006AC7">
              <w:rPr>
                <w:rFonts w:ascii="Times New Roman" w:hAnsi="Times New Roman" w:cs="Times New Roman"/>
                <w:noProof/>
                <w:color w:val="FFFFFF" w:themeColor="background1"/>
                <w:sz w:val="22"/>
              </w:rPr>
              <w:instrText xml:space="preserve"> TOC \n \h \z \c "Table" </w:instrText>
            </w:r>
            <w:r w:rsidRPr="00006AC7">
              <w:rPr>
                <w:rFonts w:ascii="Times New Roman" w:hAnsi="Times New Roman" w:cs="Times New Roman"/>
                <w:b w:val="0"/>
                <w:i/>
                <w:noProof/>
                <w:color w:val="FFFFFF" w:themeColor="background1"/>
                <w:sz w:val="22"/>
              </w:rPr>
              <w:fldChar w:fldCharType="end"/>
            </w:r>
            <w:r w:rsidRPr="00006AC7">
              <w:rPr>
                <w:rFonts w:ascii="Times New Roman" w:hAnsi="Times New Roman" w:cs="Times New Roman"/>
                <w:noProof/>
                <w:color w:val="FFFFFF" w:themeColor="background1"/>
                <w:sz w:val="22"/>
                <w:lang w:eastAsia="en-GB"/>
              </w:rPr>
              <w:t>Count of Concentration Type</w:t>
            </w:r>
          </w:p>
        </w:tc>
        <w:tc>
          <w:tcPr>
            <w:tcW w:w="0" w:type="pct"/>
            <w:noWrap/>
            <w:hideMark/>
          </w:tcPr>
          <w:p w14:paraId="0392231F" w14:textId="77777777" w:rsidR="005A5C27" w:rsidRPr="00006AC7" w:rsidRDefault="005A5C27" w:rsidP="00DC5A33">
            <w:pPr>
              <w:pStyle w:val="TableHeading"/>
              <w:keepNext/>
              <w:keepLine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FFFFFF" w:themeColor="background1"/>
                <w:sz w:val="22"/>
                <w:lang w:eastAsia="en-GB"/>
              </w:rPr>
            </w:pPr>
            <w:r w:rsidRPr="00006AC7">
              <w:rPr>
                <w:rFonts w:ascii="Times New Roman" w:hAnsi="Times New Roman" w:cs="Times New Roman"/>
                <w:noProof/>
                <w:color w:val="FFFFFF" w:themeColor="background1"/>
                <w:sz w:val="22"/>
                <w:lang w:eastAsia="en-GB"/>
              </w:rPr>
              <w:t>(%)</w:t>
            </w:r>
          </w:p>
        </w:tc>
      </w:tr>
      <w:tr w:rsidR="005A5C27" w:rsidRPr="00473199" w14:paraId="73A5B8D0" w14:textId="77777777" w:rsidTr="00DC5A33">
        <w:trPr>
          <w:trHeight w:val="302"/>
        </w:trPr>
        <w:tc>
          <w:tcPr>
            <w:cnfStyle w:val="001000000000" w:firstRow="0" w:lastRow="0" w:firstColumn="1" w:lastColumn="0" w:oddVBand="0" w:evenVBand="0" w:oddHBand="0" w:evenHBand="0" w:firstRowFirstColumn="0" w:firstRowLastColumn="0" w:lastRowFirstColumn="0" w:lastRowLastColumn="0"/>
            <w:tcW w:w="4278" w:type="pct"/>
            <w:noWrap/>
            <w:hideMark/>
          </w:tcPr>
          <w:p w14:paraId="543CBEC2" w14:textId="77777777" w:rsidR="005A5C27" w:rsidRPr="00006AC7" w:rsidRDefault="005A5C27" w:rsidP="00DC5A33">
            <w:pPr>
              <w:pStyle w:val="TableText"/>
              <w:keepNext/>
              <w:rPr>
                <w:noProof/>
                <w:color w:val="000000" w:themeColor="text1"/>
                <w:sz w:val="22"/>
                <w:szCs w:val="22"/>
              </w:rPr>
            </w:pPr>
            <w:r w:rsidRPr="00006AC7">
              <w:rPr>
                <w:noProof/>
                <w:color w:val="000000" w:themeColor="text1"/>
                <w:sz w:val="22"/>
                <w:szCs w:val="22"/>
              </w:rPr>
              <w:t>Acquisition of joint control of part of a company</w:t>
            </w:r>
          </w:p>
        </w:tc>
        <w:tc>
          <w:tcPr>
            <w:tcW w:w="722" w:type="pct"/>
            <w:noWrap/>
            <w:hideMark/>
          </w:tcPr>
          <w:p w14:paraId="396F087F" w14:textId="77777777" w:rsidR="005A5C27" w:rsidRPr="00006AC7" w:rsidRDefault="005A5C27" w:rsidP="00DC5A33">
            <w:pPr>
              <w:pStyle w:val="TableText"/>
              <w:keepNext/>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006AC7">
              <w:rPr>
                <w:noProof/>
                <w:color w:val="000000" w:themeColor="text1"/>
                <w:sz w:val="22"/>
                <w:szCs w:val="22"/>
              </w:rPr>
              <w:t>1%</w:t>
            </w:r>
          </w:p>
        </w:tc>
      </w:tr>
      <w:tr w:rsidR="005A5C27" w:rsidRPr="00473199" w14:paraId="5C029EEB" w14:textId="77777777" w:rsidTr="00DC5A33">
        <w:trPr>
          <w:cnfStyle w:val="000000010000" w:firstRow="0" w:lastRow="0" w:firstColumn="0" w:lastColumn="0" w:oddVBand="0" w:evenVBand="0" w:oddHBand="0" w:evenHBand="1"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4278" w:type="pct"/>
            <w:noWrap/>
            <w:hideMark/>
          </w:tcPr>
          <w:p w14:paraId="37B00B1C" w14:textId="77777777" w:rsidR="005A5C27" w:rsidRPr="00006AC7" w:rsidRDefault="005A5C27" w:rsidP="00DC5A33">
            <w:pPr>
              <w:pStyle w:val="Figure"/>
              <w:rPr>
                <w:noProof/>
                <w:color w:val="000000" w:themeColor="text1"/>
                <w:sz w:val="22"/>
                <w:szCs w:val="22"/>
              </w:rPr>
            </w:pPr>
            <w:r w:rsidRPr="00006AC7">
              <w:rPr>
                <w:noProof/>
                <w:color w:val="000000" w:themeColor="text1"/>
                <w:sz w:val="22"/>
                <w:szCs w:val="22"/>
              </w:rPr>
              <w:t>Acquisition of joint control of the whole company</w:t>
            </w:r>
          </w:p>
        </w:tc>
        <w:tc>
          <w:tcPr>
            <w:tcW w:w="722" w:type="pct"/>
            <w:noWrap/>
            <w:hideMark/>
          </w:tcPr>
          <w:p w14:paraId="77A6FB46" w14:textId="77777777" w:rsidR="005A5C27" w:rsidRPr="00006AC7" w:rsidRDefault="005A5C27" w:rsidP="00DC5A33">
            <w:pPr>
              <w:pStyle w:val="TableText"/>
              <w:keepNext/>
              <w:cnfStyle w:val="000000010000" w:firstRow="0" w:lastRow="0" w:firstColumn="0" w:lastColumn="0" w:oddVBand="0" w:evenVBand="0" w:oddHBand="0" w:evenHBand="1" w:firstRowFirstColumn="0" w:firstRowLastColumn="0" w:lastRowFirstColumn="0" w:lastRowLastColumn="0"/>
              <w:rPr>
                <w:noProof/>
                <w:color w:val="000000" w:themeColor="text1"/>
                <w:sz w:val="22"/>
                <w:szCs w:val="22"/>
              </w:rPr>
            </w:pPr>
            <w:r w:rsidRPr="00006AC7">
              <w:rPr>
                <w:noProof/>
                <w:color w:val="000000" w:themeColor="text1"/>
                <w:sz w:val="22"/>
                <w:szCs w:val="22"/>
              </w:rPr>
              <w:t>11%</w:t>
            </w:r>
          </w:p>
        </w:tc>
      </w:tr>
      <w:tr w:rsidR="005A5C27" w:rsidRPr="00473199" w14:paraId="3F11D5CF" w14:textId="77777777" w:rsidTr="00DC5A33">
        <w:trPr>
          <w:trHeight w:val="302"/>
        </w:trPr>
        <w:tc>
          <w:tcPr>
            <w:cnfStyle w:val="001000000000" w:firstRow="0" w:lastRow="0" w:firstColumn="1" w:lastColumn="0" w:oddVBand="0" w:evenVBand="0" w:oddHBand="0" w:evenHBand="0" w:firstRowFirstColumn="0" w:firstRowLastColumn="0" w:lastRowFirstColumn="0" w:lastRowLastColumn="0"/>
            <w:tcW w:w="4278" w:type="pct"/>
            <w:noWrap/>
            <w:hideMark/>
          </w:tcPr>
          <w:p w14:paraId="6B978C30" w14:textId="77777777" w:rsidR="005A5C27" w:rsidRPr="00006AC7" w:rsidRDefault="005A5C27" w:rsidP="00DC5A33">
            <w:pPr>
              <w:pStyle w:val="TableText"/>
              <w:keepNext/>
              <w:rPr>
                <w:noProof/>
                <w:color w:val="000000" w:themeColor="text1"/>
                <w:sz w:val="22"/>
                <w:szCs w:val="22"/>
              </w:rPr>
            </w:pPr>
            <w:r w:rsidRPr="00006AC7">
              <w:rPr>
                <w:noProof/>
                <w:color w:val="000000" w:themeColor="text1"/>
                <w:sz w:val="22"/>
                <w:szCs w:val="22"/>
              </w:rPr>
              <w:t>Acquisition of joint control through a joint venture</w:t>
            </w:r>
          </w:p>
        </w:tc>
        <w:tc>
          <w:tcPr>
            <w:tcW w:w="722" w:type="pct"/>
            <w:noWrap/>
            <w:hideMark/>
          </w:tcPr>
          <w:p w14:paraId="2FEA0014" w14:textId="77777777" w:rsidR="005A5C27" w:rsidRPr="00006AC7" w:rsidRDefault="005A5C27" w:rsidP="00DC5A33">
            <w:pPr>
              <w:pStyle w:val="TableText"/>
              <w:keepNext/>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006AC7">
              <w:rPr>
                <w:noProof/>
                <w:color w:val="000000" w:themeColor="text1"/>
                <w:sz w:val="22"/>
                <w:szCs w:val="22"/>
              </w:rPr>
              <w:t>2%</w:t>
            </w:r>
          </w:p>
        </w:tc>
      </w:tr>
      <w:tr w:rsidR="005A5C27" w:rsidRPr="00473199" w14:paraId="2746C835" w14:textId="77777777" w:rsidTr="00DC5A33">
        <w:trPr>
          <w:cnfStyle w:val="000000010000" w:firstRow="0" w:lastRow="0" w:firstColumn="0" w:lastColumn="0" w:oddVBand="0" w:evenVBand="0" w:oddHBand="0" w:evenHBand="1"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4278" w:type="pct"/>
            <w:noWrap/>
            <w:hideMark/>
          </w:tcPr>
          <w:p w14:paraId="2A44382C" w14:textId="77777777" w:rsidR="005A5C27" w:rsidRPr="00006AC7" w:rsidRDefault="005A5C27" w:rsidP="00DC5A33">
            <w:pPr>
              <w:pStyle w:val="TableText"/>
              <w:keepNext/>
              <w:rPr>
                <w:noProof/>
                <w:color w:val="000000" w:themeColor="text1"/>
                <w:sz w:val="22"/>
                <w:szCs w:val="22"/>
              </w:rPr>
            </w:pPr>
            <w:r w:rsidRPr="00006AC7">
              <w:rPr>
                <w:noProof/>
                <w:color w:val="000000" w:themeColor="text1"/>
                <w:sz w:val="22"/>
                <w:szCs w:val="22"/>
              </w:rPr>
              <w:t>Acquisition of sole control of part of a company</w:t>
            </w:r>
          </w:p>
        </w:tc>
        <w:tc>
          <w:tcPr>
            <w:tcW w:w="722" w:type="pct"/>
            <w:noWrap/>
            <w:hideMark/>
          </w:tcPr>
          <w:p w14:paraId="162BBEE3" w14:textId="77777777" w:rsidR="005A5C27" w:rsidRPr="00006AC7" w:rsidRDefault="005A5C27" w:rsidP="00DC5A33">
            <w:pPr>
              <w:pStyle w:val="TableText"/>
              <w:keepNext/>
              <w:cnfStyle w:val="000000010000" w:firstRow="0" w:lastRow="0" w:firstColumn="0" w:lastColumn="0" w:oddVBand="0" w:evenVBand="0" w:oddHBand="0" w:evenHBand="1" w:firstRowFirstColumn="0" w:firstRowLastColumn="0" w:lastRowFirstColumn="0" w:lastRowLastColumn="0"/>
              <w:rPr>
                <w:noProof/>
                <w:color w:val="000000" w:themeColor="text1"/>
                <w:sz w:val="22"/>
                <w:szCs w:val="22"/>
              </w:rPr>
            </w:pPr>
            <w:r w:rsidRPr="00006AC7">
              <w:rPr>
                <w:noProof/>
                <w:color w:val="000000" w:themeColor="text1"/>
                <w:sz w:val="22"/>
                <w:szCs w:val="22"/>
              </w:rPr>
              <w:t>7%</w:t>
            </w:r>
          </w:p>
        </w:tc>
      </w:tr>
      <w:tr w:rsidR="005A5C27" w:rsidRPr="00473199" w14:paraId="7C6D2515" w14:textId="77777777" w:rsidTr="00DC5A33">
        <w:trPr>
          <w:trHeight w:val="302"/>
        </w:trPr>
        <w:tc>
          <w:tcPr>
            <w:cnfStyle w:val="001000000000" w:firstRow="0" w:lastRow="0" w:firstColumn="1" w:lastColumn="0" w:oddVBand="0" w:evenVBand="0" w:oddHBand="0" w:evenHBand="0" w:firstRowFirstColumn="0" w:firstRowLastColumn="0" w:lastRowFirstColumn="0" w:lastRowLastColumn="0"/>
            <w:tcW w:w="4278" w:type="pct"/>
            <w:noWrap/>
            <w:hideMark/>
          </w:tcPr>
          <w:p w14:paraId="617B6681" w14:textId="77777777" w:rsidR="005A5C27" w:rsidRPr="00006AC7" w:rsidRDefault="005A5C27" w:rsidP="00DC5A33">
            <w:pPr>
              <w:pStyle w:val="TableText"/>
              <w:keepNext/>
              <w:rPr>
                <w:noProof/>
                <w:color w:val="000000" w:themeColor="text1"/>
                <w:sz w:val="22"/>
                <w:szCs w:val="22"/>
              </w:rPr>
            </w:pPr>
            <w:r w:rsidRPr="00006AC7">
              <w:rPr>
                <w:noProof/>
                <w:color w:val="000000" w:themeColor="text1"/>
                <w:sz w:val="22"/>
                <w:szCs w:val="22"/>
              </w:rPr>
              <w:t>Acquisition of sole control of previously reduced or enlarged companies</w:t>
            </w:r>
          </w:p>
        </w:tc>
        <w:tc>
          <w:tcPr>
            <w:tcW w:w="722" w:type="pct"/>
            <w:noWrap/>
            <w:hideMark/>
          </w:tcPr>
          <w:p w14:paraId="5618471E" w14:textId="77777777" w:rsidR="005A5C27" w:rsidRPr="00006AC7" w:rsidRDefault="005A5C27" w:rsidP="00DC5A33">
            <w:pPr>
              <w:pStyle w:val="TableText"/>
              <w:keepNext/>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006AC7">
              <w:rPr>
                <w:noProof/>
                <w:color w:val="000000" w:themeColor="text1"/>
                <w:sz w:val="22"/>
                <w:szCs w:val="22"/>
              </w:rPr>
              <w:t>1%</w:t>
            </w:r>
          </w:p>
        </w:tc>
      </w:tr>
      <w:tr w:rsidR="005A5C27" w:rsidRPr="00473199" w14:paraId="145F39F2" w14:textId="77777777" w:rsidTr="00DC5A33">
        <w:trPr>
          <w:cnfStyle w:val="000000010000" w:firstRow="0" w:lastRow="0" w:firstColumn="0" w:lastColumn="0" w:oddVBand="0" w:evenVBand="0" w:oddHBand="0" w:evenHBand="1"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4278" w:type="pct"/>
            <w:noWrap/>
            <w:hideMark/>
          </w:tcPr>
          <w:p w14:paraId="02349902" w14:textId="77777777" w:rsidR="005A5C27" w:rsidRPr="00006AC7" w:rsidRDefault="005A5C27" w:rsidP="00DC5A33">
            <w:pPr>
              <w:pStyle w:val="TableText"/>
              <w:keepNext/>
              <w:rPr>
                <w:noProof/>
                <w:color w:val="000000" w:themeColor="text1"/>
                <w:sz w:val="22"/>
                <w:szCs w:val="22"/>
              </w:rPr>
            </w:pPr>
            <w:r w:rsidRPr="00006AC7">
              <w:rPr>
                <w:noProof/>
                <w:color w:val="000000" w:themeColor="text1"/>
                <w:sz w:val="22"/>
                <w:szCs w:val="22"/>
              </w:rPr>
              <w:t>Acquisition of sole control of the whole company</w:t>
            </w:r>
          </w:p>
        </w:tc>
        <w:tc>
          <w:tcPr>
            <w:tcW w:w="722" w:type="pct"/>
            <w:noWrap/>
            <w:hideMark/>
          </w:tcPr>
          <w:p w14:paraId="36DE974D" w14:textId="77777777" w:rsidR="005A5C27" w:rsidRPr="00006AC7" w:rsidRDefault="005A5C27" w:rsidP="00DC5A33">
            <w:pPr>
              <w:pStyle w:val="TableText"/>
              <w:keepNext/>
              <w:cnfStyle w:val="000000010000" w:firstRow="0" w:lastRow="0" w:firstColumn="0" w:lastColumn="0" w:oddVBand="0" w:evenVBand="0" w:oddHBand="0" w:evenHBand="1" w:firstRowFirstColumn="0" w:firstRowLastColumn="0" w:lastRowFirstColumn="0" w:lastRowLastColumn="0"/>
              <w:rPr>
                <w:noProof/>
                <w:color w:val="000000" w:themeColor="text1"/>
                <w:sz w:val="22"/>
                <w:szCs w:val="22"/>
              </w:rPr>
            </w:pPr>
            <w:r w:rsidRPr="00006AC7">
              <w:rPr>
                <w:noProof/>
                <w:color w:val="000000" w:themeColor="text1"/>
                <w:sz w:val="22"/>
                <w:szCs w:val="22"/>
              </w:rPr>
              <w:t>41%</w:t>
            </w:r>
          </w:p>
        </w:tc>
      </w:tr>
      <w:tr w:rsidR="005A5C27" w:rsidRPr="00473199" w14:paraId="129C94EB" w14:textId="77777777" w:rsidTr="00DC5A33">
        <w:trPr>
          <w:trHeight w:val="302"/>
        </w:trPr>
        <w:tc>
          <w:tcPr>
            <w:cnfStyle w:val="001000000000" w:firstRow="0" w:lastRow="0" w:firstColumn="1" w:lastColumn="0" w:oddVBand="0" w:evenVBand="0" w:oddHBand="0" w:evenHBand="0" w:firstRowFirstColumn="0" w:firstRowLastColumn="0" w:lastRowFirstColumn="0" w:lastRowLastColumn="0"/>
            <w:tcW w:w="4278" w:type="pct"/>
            <w:noWrap/>
            <w:hideMark/>
          </w:tcPr>
          <w:p w14:paraId="243EC2A5" w14:textId="77777777" w:rsidR="005A5C27" w:rsidRPr="00006AC7" w:rsidRDefault="005A5C27" w:rsidP="00DC5A33">
            <w:pPr>
              <w:pStyle w:val="TableText"/>
              <w:keepNext/>
              <w:rPr>
                <w:noProof/>
                <w:color w:val="000000" w:themeColor="text1"/>
                <w:sz w:val="22"/>
                <w:szCs w:val="22"/>
              </w:rPr>
            </w:pPr>
            <w:r w:rsidRPr="00006AC7">
              <w:rPr>
                <w:noProof/>
                <w:color w:val="000000" w:themeColor="text1"/>
                <w:sz w:val="22"/>
                <w:szCs w:val="22"/>
              </w:rPr>
              <w:t>Acquisition of sole control through a subsidiary of a group</w:t>
            </w:r>
          </w:p>
        </w:tc>
        <w:tc>
          <w:tcPr>
            <w:tcW w:w="722" w:type="pct"/>
            <w:noWrap/>
            <w:hideMark/>
          </w:tcPr>
          <w:p w14:paraId="16BE0398" w14:textId="77777777" w:rsidR="005A5C27" w:rsidRPr="00006AC7" w:rsidRDefault="005A5C27" w:rsidP="00DC5A33">
            <w:pPr>
              <w:pStyle w:val="TableText"/>
              <w:keepNext/>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006AC7">
              <w:rPr>
                <w:noProof/>
                <w:color w:val="000000" w:themeColor="text1"/>
                <w:sz w:val="22"/>
                <w:szCs w:val="22"/>
              </w:rPr>
              <w:t>3%</w:t>
            </w:r>
          </w:p>
        </w:tc>
      </w:tr>
      <w:tr w:rsidR="005A5C27" w:rsidRPr="00473199" w14:paraId="00969CCD" w14:textId="77777777" w:rsidTr="00DC5A33">
        <w:trPr>
          <w:cnfStyle w:val="000000010000" w:firstRow="0" w:lastRow="0" w:firstColumn="0" w:lastColumn="0" w:oddVBand="0" w:evenVBand="0" w:oddHBand="0" w:evenHBand="1"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4278" w:type="pct"/>
            <w:noWrap/>
            <w:hideMark/>
          </w:tcPr>
          <w:p w14:paraId="1C09C5C7" w14:textId="77777777" w:rsidR="005A5C27" w:rsidRPr="00006AC7" w:rsidRDefault="005A5C27" w:rsidP="00DC5A33">
            <w:pPr>
              <w:pStyle w:val="TableText"/>
              <w:keepNext/>
              <w:rPr>
                <w:noProof/>
                <w:color w:val="000000" w:themeColor="text1"/>
                <w:sz w:val="22"/>
                <w:szCs w:val="22"/>
              </w:rPr>
            </w:pPr>
            <w:r w:rsidRPr="00006AC7">
              <w:rPr>
                <w:noProof/>
                <w:color w:val="000000" w:themeColor="text1"/>
                <w:sz w:val="22"/>
                <w:szCs w:val="22"/>
              </w:rPr>
              <w:t>Merger</w:t>
            </w:r>
          </w:p>
        </w:tc>
        <w:tc>
          <w:tcPr>
            <w:tcW w:w="722" w:type="pct"/>
            <w:noWrap/>
            <w:hideMark/>
          </w:tcPr>
          <w:p w14:paraId="3DF524EE" w14:textId="77777777" w:rsidR="005A5C27" w:rsidRPr="00006AC7" w:rsidRDefault="005A5C27" w:rsidP="00DC5A33">
            <w:pPr>
              <w:pStyle w:val="TableText"/>
              <w:keepNext/>
              <w:cnfStyle w:val="000000010000" w:firstRow="0" w:lastRow="0" w:firstColumn="0" w:lastColumn="0" w:oddVBand="0" w:evenVBand="0" w:oddHBand="0" w:evenHBand="1" w:firstRowFirstColumn="0" w:firstRowLastColumn="0" w:lastRowFirstColumn="0" w:lastRowLastColumn="0"/>
              <w:rPr>
                <w:noProof/>
                <w:color w:val="000000" w:themeColor="text1"/>
                <w:sz w:val="22"/>
                <w:szCs w:val="22"/>
              </w:rPr>
            </w:pPr>
            <w:r w:rsidRPr="00006AC7">
              <w:rPr>
                <w:noProof/>
                <w:color w:val="000000" w:themeColor="text1"/>
                <w:sz w:val="22"/>
                <w:szCs w:val="22"/>
              </w:rPr>
              <w:t>1%</w:t>
            </w:r>
          </w:p>
        </w:tc>
      </w:tr>
      <w:tr w:rsidR="005A5C27" w:rsidRPr="00473199" w14:paraId="697434C5" w14:textId="77777777" w:rsidTr="00DC5A33">
        <w:trPr>
          <w:trHeight w:val="302"/>
        </w:trPr>
        <w:tc>
          <w:tcPr>
            <w:cnfStyle w:val="001000000000" w:firstRow="0" w:lastRow="0" w:firstColumn="1" w:lastColumn="0" w:oddVBand="0" w:evenVBand="0" w:oddHBand="0" w:evenHBand="0" w:firstRowFirstColumn="0" w:firstRowLastColumn="0" w:lastRowFirstColumn="0" w:lastRowLastColumn="0"/>
            <w:tcW w:w="4278" w:type="pct"/>
            <w:noWrap/>
            <w:hideMark/>
          </w:tcPr>
          <w:p w14:paraId="2D0A0BE3" w14:textId="77777777" w:rsidR="005A5C27" w:rsidRPr="00006AC7" w:rsidRDefault="005A5C27" w:rsidP="00DC5A33">
            <w:pPr>
              <w:pStyle w:val="TableText"/>
              <w:keepNext/>
              <w:rPr>
                <w:noProof/>
                <w:color w:val="000000" w:themeColor="text1"/>
                <w:sz w:val="22"/>
                <w:szCs w:val="22"/>
              </w:rPr>
            </w:pPr>
            <w:r w:rsidRPr="00006AC7">
              <w:rPr>
                <w:noProof/>
                <w:color w:val="000000" w:themeColor="text1"/>
                <w:sz w:val="22"/>
                <w:szCs w:val="22"/>
              </w:rPr>
              <w:t>N\A</w:t>
            </w:r>
          </w:p>
        </w:tc>
        <w:tc>
          <w:tcPr>
            <w:tcW w:w="722" w:type="pct"/>
            <w:noWrap/>
            <w:hideMark/>
          </w:tcPr>
          <w:p w14:paraId="7576CBC5" w14:textId="77777777" w:rsidR="005A5C27" w:rsidRPr="00006AC7" w:rsidRDefault="005A5C27" w:rsidP="00DC5A33">
            <w:pPr>
              <w:pStyle w:val="TableText"/>
              <w:keepNext/>
              <w:cnfStyle w:val="000000000000" w:firstRow="0" w:lastRow="0" w:firstColumn="0" w:lastColumn="0" w:oddVBand="0" w:evenVBand="0" w:oddHBand="0" w:evenHBand="0" w:firstRowFirstColumn="0" w:firstRowLastColumn="0" w:lastRowFirstColumn="0" w:lastRowLastColumn="0"/>
              <w:rPr>
                <w:noProof/>
                <w:color w:val="000000" w:themeColor="text1"/>
                <w:sz w:val="22"/>
                <w:szCs w:val="22"/>
              </w:rPr>
            </w:pPr>
            <w:r w:rsidRPr="00006AC7">
              <w:rPr>
                <w:noProof/>
                <w:color w:val="000000" w:themeColor="text1"/>
                <w:sz w:val="22"/>
                <w:szCs w:val="22"/>
              </w:rPr>
              <w:t>32%</w:t>
            </w:r>
          </w:p>
        </w:tc>
      </w:tr>
      <w:tr w:rsidR="005A5C27" w:rsidRPr="005F4407" w14:paraId="5C89CD1A" w14:textId="77777777" w:rsidTr="00DC5A33">
        <w:trPr>
          <w:cnfStyle w:val="000000010000" w:firstRow="0" w:lastRow="0" w:firstColumn="0" w:lastColumn="0" w:oddVBand="0" w:evenVBand="0" w:oddHBand="0" w:evenHBand="1"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4278" w:type="pct"/>
            <w:noWrap/>
            <w:hideMark/>
          </w:tcPr>
          <w:p w14:paraId="2A1956E3" w14:textId="77777777" w:rsidR="005A5C27" w:rsidRPr="00006AC7" w:rsidRDefault="005A5C27" w:rsidP="00DC5A33">
            <w:pPr>
              <w:pStyle w:val="TableText"/>
              <w:keepNext/>
              <w:rPr>
                <w:b/>
                <w:noProof/>
                <w:color w:val="000000" w:themeColor="text1"/>
                <w:sz w:val="22"/>
                <w:szCs w:val="22"/>
              </w:rPr>
            </w:pPr>
            <w:r w:rsidRPr="00006AC7">
              <w:rPr>
                <w:b/>
                <w:noProof/>
                <w:color w:val="000000" w:themeColor="text1"/>
                <w:sz w:val="22"/>
                <w:szCs w:val="22"/>
              </w:rPr>
              <w:t>Total</w:t>
            </w:r>
          </w:p>
        </w:tc>
        <w:tc>
          <w:tcPr>
            <w:tcW w:w="722" w:type="pct"/>
            <w:noWrap/>
            <w:hideMark/>
          </w:tcPr>
          <w:p w14:paraId="29271CD5" w14:textId="77777777" w:rsidR="005A5C27" w:rsidRPr="00006AC7" w:rsidRDefault="005A5C27" w:rsidP="00DC5A33">
            <w:pPr>
              <w:pStyle w:val="TableText"/>
              <w:keepNext/>
              <w:cnfStyle w:val="000000010000" w:firstRow="0" w:lastRow="0" w:firstColumn="0" w:lastColumn="0" w:oddVBand="0" w:evenVBand="0" w:oddHBand="0" w:evenHBand="1" w:firstRowFirstColumn="0" w:firstRowLastColumn="0" w:lastRowFirstColumn="0" w:lastRowLastColumn="0"/>
              <w:rPr>
                <w:b/>
                <w:noProof/>
                <w:color w:val="000000" w:themeColor="text1"/>
                <w:sz w:val="22"/>
                <w:szCs w:val="22"/>
              </w:rPr>
            </w:pPr>
            <w:r w:rsidRPr="00006AC7">
              <w:rPr>
                <w:b/>
                <w:noProof/>
                <w:color w:val="000000" w:themeColor="text1"/>
                <w:sz w:val="22"/>
                <w:szCs w:val="22"/>
              </w:rPr>
              <w:t>100%</w:t>
            </w:r>
          </w:p>
        </w:tc>
      </w:tr>
    </w:tbl>
    <w:p w14:paraId="2FDBDB05" w14:textId="4E51329C" w:rsidR="00C85192" w:rsidRPr="00A47B29" w:rsidRDefault="00A24D62" w:rsidP="005A5C27">
      <w:pPr>
        <w:pStyle w:val="Source"/>
        <w:rPr>
          <w:noProof/>
        </w:rPr>
      </w:pPr>
      <w:bookmarkStart w:id="84" w:name="_Ref227169980"/>
      <w:r w:rsidRPr="00F21A0D">
        <w:rPr>
          <w:noProof/>
        </w:rPr>
        <w:t>Source: Commission services</w:t>
      </w:r>
      <w:r w:rsidR="00463397">
        <w:rPr>
          <w:noProof/>
        </w:rPr>
        <w:t>.</w:t>
      </w:r>
    </w:p>
    <w:p w14:paraId="1BF065BE" w14:textId="453DFF51" w:rsidR="009F31A0" w:rsidRDefault="009F31A0" w:rsidP="006041B3">
      <w:pPr>
        <w:pStyle w:val="ContNumLevel2"/>
        <w:keepNext/>
        <w:rPr>
          <w:noProof/>
          <w:lang w:val="en-IE"/>
        </w:rPr>
      </w:pPr>
      <w:r>
        <w:rPr>
          <w:noProof/>
          <w:lang w:val="en-IE"/>
        </w:rPr>
        <w:t>R</w:t>
      </w:r>
      <w:r w:rsidRPr="009F31A0">
        <w:rPr>
          <w:noProof/>
          <w:lang w:val="en-IE"/>
        </w:rPr>
        <w:t xml:space="preserve">eported EU turnover of the </w:t>
      </w:r>
      <w:bookmarkEnd w:id="84"/>
      <w:r w:rsidR="00853091">
        <w:rPr>
          <w:noProof/>
          <w:lang w:val="en-IE"/>
        </w:rPr>
        <w:t>t</w:t>
      </w:r>
      <w:r w:rsidR="007A3981">
        <w:rPr>
          <w:noProof/>
          <w:lang w:val="en-IE"/>
        </w:rPr>
        <w:t>arget</w:t>
      </w:r>
    </w:p>
    <w:p w14:paraId="14FCCCB6" w14:textId="65C4BF1B" w:rsidR="002E362C" w:rsidRDefault="002E362C" w:rsidP="002E362C">
      <w:pPr>
        <w:pStyle w:val="ContNum"/>
        <w:numPr>
          <w:ilvl w:val="0"/>
          <w:numId w:val="0"/>
        </w:numPr>
        <w:rPr>
          <w:noProof/>
        </w:rPr>
      </w:pPr>
      <w:r>
        <w:rPr>
          <w:noProof/>
        </w:rPr>
        <w:t>The internal analysis of cases shows that</w:t>
      </w:r>
      <w:r w:rsidRPr="006A2A3D">
        <w:rPr>
          <w:noProof/>
        </w:rPr>
        <w:t xml:space="preserve"> the median of the </w:t>
      </w:r>
      <w:r w:rsidR="001B38D2">
        <w:rPr>
          <w:noProof/>
        </w:rPr>
        <w:t xml:space="preserve">reported EU </w:t>
      </w:r>
      <w:r>
        <w:rPr>
          <w:noProof/>
        </w:rPr>
        <w:t>turnover</w:t>
      </w:r>
      <w:r w:rsidR="001B38D2">
        <w:rPr>
          <w:noProof/>
        </w:rPr>
        <w:t xml:space="preserve"> of the </w:t>
      </w:r>
      <w:r w:rsidR="00853091">
        <w:rPr>
          <w:noProof/>
        </w:rPr>
        <w:t>t</w:t>
      </w:r>
      <w:r w:rsidR="007A3981">
        <w:rPr>
          <w:noProof/>
        </w:rPr>
        <w:t>arget</w:t>
      </w:r>
      <w:r w:rsidR="001B38D2">
        <w:rPr>
          <w:noProof/>
        </w:rPr>
        <w:t xml:space="preserve"> across</w:t>
      </w:r>
      <w:r w:rsidRPr="006A2A3D">
        <w:rPr>
          <w:noProof/>
        </w:rPr>
        <w:t xml:space="preserve"> all</w:t>
      </w:r>
      <w:r w:rsidR="001B38D2">
        <w:rPr>
          <w:noProof/>
        </w:rPr>
        <w:t xml:space="preserve"> cases closed after</w:t>
      </w:r>
      <w:r w:rsidRPr="006A2A3D">
        <w:rPr>
          <w:noProof/>
        </w:rPr>
        <w:t xml:space="preserve"> </w:t>
      </w:r>
      <w:r>
        <w:rPr>
          <w:noProof/>
        </w:rPr>
        <w:t xml:space="preserve">preliminary review </w:t>
      </w:r>
      <w:r w:rsidRPr="006A2A3D">
        <w:rPr>
          <w:noProof/>
        </w:rPr>
        <w:t xml:space="preserve">was around </w:t>
      </w:r>
      <w:r w:rsidR="00463397" w:rsidRPr="006A2A3D">
        <w:rPr>
          <w:noProof/>
        </w:rPr>
        <w:t>EUR</w:t>
      </w:r>
      <w:r w:rsidR="00463397">
        <w:rPr>
          <w:noProof/>
        </w:rPr>
        <w:t> </w:t>
      </w:r>
      <w:r w:rsidR="00595ACB">
        <w:rPr>
          <w:noProof/>
        </w:rPr>
        <w:t xml:space="preserve">1 </w:t>
      </w:r>
      <w:r w:rsidR="00595ACB" w:rsidDel="001A6FF1">
        <w:rPr>
          <w:noProof/>
        </w:rPr>
        <w:t>billion</w:t>
      </w:r>
      <w:r w:rsidRPr="006A2A3D">
        <w:rPr>
          <w:noProof/>
        </w:rPr>
        <w:t xml:space="preserve"> (i.e</w:t>
      </w:r>
      <w:r w:rsidR="00FA2411">
        <w:rPr>
          <w:noProof/>
        </w:rPr>
        <w:t>.</w:t>
      </w:r>
      <w:r w:rsidR="00463397">
        <w:rPr>
          <w:noProof/>
        </w:rPr>
        <w:t>,</w:t>
      </w:r>
      <w:r w:rsidRPr="006A2A3D">
        <w:rPr>
          <w:noProof/>
        </w:rPr>
        <w:t xml:space="preserve"> </w:t>
      </w:r>
      <w:r>
        <w:rPr>
          <w:noProof/>
        </w:rPr>
        <w:t xml:space="preserve">for </w:t>
      </w:r>
      <w:r w:rsidRPr="006A2A3D">
        <w:rPr>
          <w:noProof/>
        </w:rPr>
        <w:t xml:space="preserve">50% of </w:t>
      </w:r>
      <w:r>
        <w:rPr>
          <w:noProof/>
        </w:rPr>
        <w:t xml:space="preserve">those </w:t>
      </w:r>
      <w:r w:rsidRPr="006A2A3D">
        <w:rPr>
          <w:noProof/>
        </w:rPr>
        <w:t xml:space="preserve">cases </w:t>
      </w:r>
      <w:r>
        <w:rPr>
          <w:noProof/>
        </w:rPr>
        <w:t xml:space="preserve">the </w:t>
      </w:r>
      <w:r w:rsidR="00853091">
        <w:rPr>
          <w:noProof/>
        </w:rPr>
        <w:t>t</w:t>
      </w:r>
      <w:r w:rsidR="007A3981">
        <w:rPr>
          <w:noProof/>
        </w:rPr>
        <w:t>arget</w:t>
      </w:r>
      <w:r>
        <w:rPr>
          <w:noProof/>
        </w:rPr>
        <w:t xml:space="preserve"> had a turnover of around </w:t>
      </w:r>
      <w:r w:rsidR="00463397" w:rsidRPr="006A2A3D">
        <w:rPr>
          <w:noProof/>
        </w:rPr>
        <w:t>EUR</w:t>
      </w:r>
      <w:r w:rsidR="00463397">
        <w:rPr>
          <w:noProof/>
        </w:rPr>
        <w:t> </w:t>
      </w:r>
      <w:r>
        <w:rPr>
          <w:noProof/>
        </w:rPr>
        <w:t>1</w:t>
      </w:r>
      <w:r w:rsidR="00A54789">
        <w:rPr>
          <w:noProof/>
        </w:rPr>
        <w:t xml:space="preserve"> </w:t>
      </w:r>
      <w:r w:rsidR="001A6FF1">
        <w:rPr>
          <w:noProof/>
        </w:rPr>
        <w:t>b</w:t>
      </w:r>
      <w:r w:rsidRPr="006A2A3D">
        <w:rPr>
          <w:noProof/>
        </w:rPr>
        <w:t>illion or less</w:t>
      </w:r>
      <w:r>
        <w:rPr>
          <w:noProof/>
        </w:rPr>
        <w:t xml:space="preserve">). </w:t>
      </w:r>
    </w:p>
    <w:p w14:paraId="33BFDEC4" w14:textId="6D0AFDA8" w:rsidR="002E362C" w:rsidRDefault="002E362C" w:rsidP="002E362C">
      <w:pPr>
        <w:pStyle w:val="ContNum"/>
        <w:numPr>
          <w:ilvl w:val="0"/>
          <w:numId w:val="0"/>
        </w:numPr>
        <w:rPr>
          <w:noProof/>
        </w:rPr>
      </w:pPr>
      <w:r>
        <w:rPr>
          <w:noProof/>
        </w:rPr>
        <w:t xml:space="preserve">The distribution of turnover across all cases closed after preliminary review is represented </w:t>
      </w:r>
      <w:r w:rsidRPr="006041B3">
        <w:rPr>
          <w:noProof/>
        </w:rPr>
        <w:t xml:space="preserve">in </w:t>
      </w:r>
      <w:r w:rsidR="002125D3" w:rsidRPr="006041B3">
        <w:rPr>
          <w:b/>
          <w:bCs/>
          <w:noProof/>
        </w:rPr>
        <w:fldChar w:fldCharType="begin"/>
      </w:r>
      <w:r w:rsidR="002125D3" w:rsidRPr="006041B3">
        <w:rPr>
          <w:b/>
          <w:bCs/>
          <w:noProof/>
        </w:rPr>
        <w:instrText xml:space="preserve"> REF _Ref229995321 \h </w:instrText>
      </w:r>
      <w:r w:rsidR="00006AC7" w:rsidRPr="006041B3">
        <w:rPr>
          <w:b/>
          <w:bCs/>
          <w:noProof/>
        </w:rPr>
        <w:instrText xml:space="preserve"> \* MERGEFORMAT </w:instrText>
      </w:r>
      <w:r w:rsidR="002125D3" w:rsidRPr="006041B3">
        <w:rPr>
          <w:b/>
          <w:bCs/>
          <w:noProof/>
        </w:rPr>
      </w:r>
      <w:r w:rsidR="002125D3" w:rsidRPr="006041B3">
        <w:rPr>
          <w:b/>
          <w:bCs/>
          <w:noProof/>
        </w:rPr>
        <w:fldChar w:fldCharType="separate"/>
      </w:r>
      <w:r w:rsidR="00227418" w:rsidRPr="00370F6C">
        <w:rPr>
          <w:b/>
          <w:bCs/>
          <w:noProof/>
        </w:rPr>
        <w:t>Figure 4</w:t>
      </w:r>
      <w:r w:rsidR="002125D3" w:rsidRPr="006041B3">
        <w:rPr>
          <w:b/>
          <w:bCs/>
          <w:noProof/>
        </w:rPr>
        <w:fldChar w:fldCharType="end"/>
      </w:r>
      <w:r w:rsidR="00744A07" w:rsidRPr="006041B3">
        <w:rPr>
          <w:noProof/>
        </w:rPr>
        <w:t xml:space="preserve"> </w:t>
      </w:r>
      <w:r w:rsidRPr="006041B3">
        <w:rPr>
          <w:noProof/>
        </w:rPr>
        <w:t>below</w:t>
      </w:r>
      <w:r>
        <w:rPr>
          <w:noProof/>
        </w:rPr>
        <w:t>.</w:t>
      </w:r>
    </w:p>
    <w:p w14:paraId="17ECDDFA" w14:textId="6B62BFE4" w:rsidR="00744A07" w:rsidRDefault="00744A07" w:rsidP="005F1BD2">
      <w:pPr>
        <w:pStyle w:val="Caption"/>
        <w:keepLines/>
        <w:rPr>
          <w:noProof/>
        </w:rPr>
      </w:pPr>
      <w:bookmarkStart w:id="85" w:name="_Ref229995321"/>
      <w:r w:rsidRPr="006041B3">
        <w:rPr>
          <w:noProof/>
        </w:rPr>
        <w:t xml:space="preserve">Figure </w:t>
      </w:r>
      <w:r w:rsidRPr="006041B3">
        <w:rPr>
          <w:noProof/>
        </w:rPr>
        <w:fldChar w:fldCharType="begin"/>
      </w:r>
      <w:r w:rsidRPr="006041B3">
        <w:rPr>
          <w:noProof/>
        </w:rPr>
        <w:instrText xml:space="preserve"> SEQ Figure \* ARABIC </w:instrText>
      </w:r>
      <w:r w:rsidRPr="006041B3">
        <w:rPr>
          <w:noProof/>
        </w:rPr>
        <w:fldChar w:fldCharType="separate"/>
      </w:r>
      <w:r w:rsidR="00227418">
        <w:rPr>
          <w:noProof/>
        </w:rPr>
        <w:t>4</w:t>
      </w:r>
      <w:r w:rsidRPr="006041B3">
        <w:rPr>
          <w:noProof/>
        </w:rPr>
        <w:fldChar w:fldCharType="end"/>
      </w:r>
      <w:bookmarkEnd w:id="85"/>
      <w:r w:rsidRPr="006041B3">
        <w:rPr>
          <w:noProof/>
        </w:rPr>
        <w:t xml:space="preserve">: </w:t>
      </w:r>
      <w:r w:rsidR="0062717D" w:rsidRPr="006041B3">
        <w:rPr>
          <w:noProof/>
        </w:rPr>
        <w:t>D</w:t>
      </w:r>
      <w:r w:rsidRPr="006041B3">
        <w:rPr>
          <w:noProof/>
        </w:rPr>
        <w:t xml:space="preserve">istribution of </w:t>
      </w:r>
      <w:r w:rsidR="00853091" w:rsidRPr="006041B3">
        <w:rPr>
          <w:noProof/>
        </w:rPr>
        <w:t>t</w:t>
      </w:r>
      <w:r w:rsidR="007A3981" w:rsidRPr="006041B3">
        <w:rPr>
          <w:noProof/>
        </w:rPr>
        <w:t>arget</w:t>
      </w:r>
      <w:r w:rsidRPr="006041B3">
        <w:rPr>
          <w:noProof/>
        </w:rPr>
        <w:t xml:space="preserve"> turnover across all concentration cases closed after preliminary</w:t>
      </w:r>
      <w:r w:rsidRPr="00A47B29">
        <w:rPr>
          <w:noProof/>
        </w:rPr>
        <w:t xml:space="preserve"> review</w:t>
      </w:r>
    </w:p>
    <w:p w14:paraId="43E2DDB8" w14:textId="0E4245C7" w:rsidR="00E02ACE" w:rsidRPr="00E02ACE" w:rsidRDefault="00E02ACE" w:rsidP="005F1BD2">
      <w:pPr>
        <w:pStyle w:val="Figure"/>
        <w:keepLines/>
        <w:rPr>
          <w:noProof/>
        </w:rPr>
      </w:pPr>
    </w:p>
    <w:p w14:paraId="419F613A" w14:textId="432480EA" w:rsidR="00301DA2" w:rsidRDefault="00CC223F" w:rsidP="005F1BD2">
      <w:pPr>
        <w:pStyle w:val="Source"/>
        <w:keepNext/>
        <w:rPr>
          <w:noProof/>
          <w:lang w:val="en-IE"/>
        </w:rPr>
      </w:pPr>
      <w:r>
        <w:rPr>
          <w:noProof/>
          <w:lang w:eastAsia="en-GB"/>
        </w:rPr>
        <w:drawing>
          <wp:inline distT="0" distB="0" distL="0" distR="0" wp14:anchorId="712C4579" wp14:editId="2EC1549B">
            <wp:extent cx="5412326" cy="3257550"/>
            <wp:effectExtent l="0" t="0" r="0" b="0"/>
            <wp:docPr id="3776401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48894" cy="3279560"/>
                    </a:xfrm>
                    <a:prstGeom prst="rect">
                      <a:avLst/>
                    </a:prstGeom>
                    <a:noFill/>
                  </pic:spPr>
                </pic:pic>
              </a:graphicData>
            </a:graphic>
          </wp:inline>
        </w:drawing>
      </w:r>
    </w:p>
    <w:p w14:paraId="38523EF4" w14:textId="58CA9209" w:rsidR="002E362C" w:rsidRPr="00A47B29" w:rsidRDefault="002E362C" w:rsidP="005F1BD2">
      <w:pPr>
        <w:pStyle w:val="Source"/>
        <w:keepNext/>
        <w:rPr>
          <w:noProof/>
          <w:lang w:val="en-IE"/>
        </w:rPr>
      </w:pPr>
      <w:r w:rsidRPr="00DE4720">
        <w:rPr>
          <w:noProof/>
          <w:lang w:val="en-IE"/>
        </w:rPr>
        <w:t>Source: Commission services</w:t>
      </w:r>
      <w:r w:rsidR="00463397">
        <w:rPr>
          <w:noProof/>
          <w:lang w:val="en-IE"/>
        </w:rPr>
        <w:t>.</w:t>
      </w:r>
    </w:p>
    <w:p w14:paraId="4E8A24C2" w14:textId="7022F191" w:rsidR="0033402F" w:rsidRPr="006041B3" w:rsidRDefault="002E362C" w:rsidP="004A1922">
      <w:pPr>
        <w:rPr>
          <w:noProof/>
          <w:lang w:val="en-IE"/>
        </w:rPr>
      </w:pPr>
      <w:r>
        <w:rPr>
          <w:noProof/>
          <w:lang w:val="en-IE"/>
        </w:rPr>
        <w:t xml:space="preserve">In addition, </w:t>
      </w:r>
      <w:r w:rsidR="009F31A0">
        <w:rPr>
          <w:noProof/>
          <w:lang w:val="en-IE"/>
        </w:rPr>
        <w:t xml:space="preserve">internal analysis of </w:t>
      </w:r>
      <w:r>
        <w:rPr>
          <w:noProof/>
          <w:lang w:val="en-IE"/>
        </w:rPr>
        <w:t xml:space="preserve">the same data </w:t>
      </w:r>
      <w:r w:rsidR="0062717D">
        <w:rPr>
          <w:noProof/>
          <w:lang w:val="en-IE"/>
        </w:rPr>
        <w:t xml:space="preserve">indicated </w:t>
      </w:r>
      <w:r w:rsidR="009F31A0">
        <w:rPr>
          <w:noProof/>
          <w:lang w:val="en-IE"/>
        </w:rPr>
        <w:t xml:space="preserve">that </w:t>
      </w:r>
      <w:r w:rsidR="00BE0513">
        <w:rPr>
          <w:noProof/>
          <w:lang w:val="en-IE"/>
        </w:rPr>
        <w:t>1</w:t>
      </w:r>
      <w:r w:rsidR="00173C0A">
        <w:rPr>
          <w:noProof/>
          <w:lang w:val="en-IE"/>
        </w:rPr>
        <w:t>5</w:t>
      </w:r>
      <w:r w:rsidR="009F31A0">
        <w:rPr>
          <w:noProof/>
          <w:lang w:val="en-IE"/>
        </w:rPr>
        <w:t xml:space="preserve">% of notified cases </w:t>
      </w:r>
      <w:r w:rsidR="0062717D">
        <w:rPr>
          <w:noProof/>
          <w:lang w:val="en-IE"/>
        </w:rPr>
        <w:t xml:space="preserve">involved </w:t>
      </w:r>
      <w:r w:rsidR="009F31A0">
        <w:rPr>
          <w:noProof/>
          <w:lang w:val="en-IE"/>
        </w:rPr>
        <w:t xml:space="preserve">a transaction </w:t>
      </w:r>
      <w:r w:rsidR="0062717D">
        <w:rPr>
          <w:noProof/>
          <w:lang w:val="en-IE"/>
        </w:rPr>
        <w:t xml:space="preserve">where the </w:t>
      </w:r>
      <w:r w:rsidR="009F31A0">
        <w:rPr>
          <w:noProof/>
          <w:lang w:val="en-IE"/>
        </w:rPr>
        <w:t xml:space="preserve">reported EU turnover of the </w:t>
      </w:r>
      <w:r w:rsidR="00853091">
        <w:rPr>
          <w:noProof/>
          <w:lang w:val="en-IE"/>
        </w:rPr>
        <w:t>t</w:t>
      </w:r>
      <w:r w:rsidR="007A3981">
        <w:rPr>
          <w:noProof/>
          <w:lang w:val="en-IE"/>
        </w:rPr>
        <w:t>arget</w:t>
      </w:r>
      <w:r w:rsidR="009F31A0">
        <w:rPr>
          <w:noProof/>
          <w:lang w:val="en-IE"/>
        </w:rPr>
        <w:t xml:space="preserve"> </w:t>
      </w:r>
      <w:r w:rsidR="0062717D">
        <w:rPr>
          <w:noProof/>
          <w:lang w:val="en-IE"/>
        </w:rPr>
        <w:t xml:space="preserve">fell </w:t>
      </w:r>
      <w:r w:rsidR="009F31A0">
        <w:rPr>
          <w:noProof/>
          <w:lang w:val="en-IE"/>
        </w:rPr>
        <w:t xml:space="preserve">between </w:t>
      </w:r>
      <w:r w:rsidR="00463397">
        <w:rPr>
          <w:noProof/>
          <w:lang w:val="en-IE"/>
        </w:rPr>
        <w:t>EUR </w:t>
      </w:r>
      <w:r w:rsidR="009F31A0">
        <w:rPr>
          <w:noProof/>
          <w:lang w:val="en-IE"/>
        </w:rPr>
        <w:t xml:space="preserve">500 million and </w:t>
      </w:r>
      <w:r w:rsidR="00463397">
        <w:rPr>
          <w:noProof/>
          <w:lang w:val="en-IE"/>
        </w:rPr>
        <w:t>EUR </w:t>
      </w:r>
      <w:r w:rsidR="009F31A0">
        <w:rPr>
          <w:noProof/>
          <w:lang w:val="en-IE"/>
        </w:rPr>
        <w:t xml:space="preserve">600 million. </w:t>
      </w:r>
      <w:r w:rsidR="005119C5">
        <w:rPr>
          <w:noProof/>
          <w:lang w:val="en-IE"/>
        </w:rPr>
        <w:t>T</w:t>
      </w:r>
      <w:r w:rsidR="009F31A0">
        <w:rPr>
          <w:noProof/>
          <w:lang w:val="en-IE"/>
        </w:rPr>
        <w:t xml:space="preserve">here has </w:t>
      </w:r>
      <w:r w:rsidR="005119C5">
        <w:rPr>
          <w:noProof/>
          <w:lang w:val="en-IE"/>
        </w:rPr>
        <w:t xml:space="preserve">not </w:t>
      </w:r>
      <w:r w:rsidR="009F31A0">
        <w:rPr>
          <w:noProof/>
          <w:lang w:val="en-IE"/>
        </w:rPr>
        <w:t xml:space="preserve">been </w:t>
      </w:r>
      <w:r w:rsidR="005119C5">
        <w:rPr>
          <w:noProof/>
          <w:lang w:val="en-IE"/>
        </w:rPr>
        <w:t>any</w:t>
      </w:r>
      <w:r w:rsidR="009F31A0">
        <w:rPr>
          <w:noProof/>
          <w:lang w:val="en-IE"/>
        </w:rPr>
        <w:t xml:space="preserve"> observed pattern of concentration of certain types of cases</w:t>
      </w:r>
      <w:r w:rsidR="00100FB1">
        <w:rPr>
          <w:noProof/>
          <w:lang w:val="en-IE"/>
        </w:rPr>
        <w:t xml:space="preserve"> (in terms of economic activities)</w:t>
      </w:r>
      <w:r w:rsidR="009F31A0">
        <w:rPr>
          <w:noProof/>
          <w:lang w:val="en-IE"/>
        </w:rPr>
        <w:t xml:space="preserve"> in the lower turnover segment of cases</w:t>
      </w:r>
      <w:r w:rsidR="00183C75">
        <w:rPr>
          <w:noProof/>
          <w:lang w:val="en-IE"/>
        </w:rPr>
        <w:t>.</w:t>
      </w:r>
      <w:r w:rsidR="00366848">
        <w:rPr>
          <w:noProof/>
          <w:lang w:val="en-IE"/>
        </w:rPr>
        <w:t xml:space="preserve"> </w:t>
      </w:r>
      <w:r w:rsidR="00183C75">
        <w:rPr>
          <w:noProof/>
          <w:lang w:val="en-IE"/>
        </w:rPr>
        <w:t>C</w:t>
      </w:r>
      <w:r w:rsidR="00366848">
        <w:rPr>
          <w:noProof/>
          <w:lang w:val="en-IE"/>
        </w:rPr>
        <w:t xml:space="preserve">ases </w:t>
      </w:r>
      <w:r w:rsidR="0062717D">
        <w:rPr>
          <w:noProof/>
          <w:lang w:val="en-IE"/>
        </w:rPr>
        <w:t xml:space="preserve">involving </w:t>
      </w:r>
      <w:r w:rsidR="00366848">
        <w:rPr>
          <w:noProof/>
          <w:lang w:val="en-IE"/>
        </w:rPr>
        <w:t>economic activities in general</w:t>
      </w:r>
      <w:r w:rsidR="006F1A1C">
        <w:rPr>
          <w:noProof/>
          <w:lang w:val="en-IE"/>
        </w:rPr>
        <w:t xml:space="preserve"> h</w:t>
      </w:r>
      <w:r w:rsidR="00366848">
        <w:rPr>
          <w:noProof/>
          <w:lang w:val="en-IE"/>
        </w:rPr>
        <w:t xml:space="preserve">ave been equally distributed regardless of the turnover </w:t>
      </w:r>
      <w:r w:rsidR="00366848" w:rsidRPr="006041B3">
        <w:rPr>
          <w:noProof/>
          <w:lang w:val="en-IE"/>
        </w:rPr>
        <w:t xml:space="preserve">of the </w:t>
      </w:r>
      <w:r w:rsidR="00853091" w:rsidRPr="006041B3">
        <w:rPr>
          <w:noProof/>
          <w:lang w:val="en-IE"/>
        </w:rPr>
        <w:t>t</w:t>
      </w:r>
      <w:r w:rsidR="007A3981" w:rsidRPr="006041B3">
        <w:rPr>
          <w:noProof/>
          <w:lang w:val="en-IE"/>
        </w:rPr>
        <w:t>arget</w:t>
      </w:r>
      <w:r w:rsidR="00366848" w:rsidRPr="006041B3">
        <w:rPr>
          <w:noProof/>
          <w:lang w:val="en-IE"/>
        </w:rPr>
        <w:t>.</w:t>
      </w:r>
      <w:r w:rsidR="00457194" w:rsidRPr="006041B3">
        <w:rPr>
          <w:noProof/>
          <w:lang w:val="en-IE"/>
        </w:rPr>
        <w:t xml:space="preserve"> </w:t>
      </w:r>
    </w:p>
    <w:p w14:paraId="72D5AD46" w14:textId="59B20E24" w:rsidR="00366848" w:rsidRDefault="00366848" w:rsidP="004A1922">
      <w:pPr>
        <w:rPr>
          <w:noProof/>
          <w:lang w:val="en-IE"/>
        </w:rPr>
      </w:pPr>
      <w:r w:rsidRPr="006041B3">
        <w:rPr>
          <w:noProof/>
          <w:lang w:val="en-IE"/>
        </w:rPr>
        <w:t>In particular,</w:t>
      </w:r>
      <w:r w:rsidR="00744A07" w:rsidRPr="006041B3">
        <w:rPr>
          <w:noProof/>
          <w:lang w:val="en-IE"/>
        </w:rPr>
        <w:t xml:space="preserve"> </w:t>
      </w:r>
      <w:r w:rsidR="00744A07" w:rsidRPr="006041B3">
        <w:rPr>
          <w:b/>
          <w:noProof/>
          <w:lang w:val="en-IE"/>
        </w:rPr>
        <w:fldChar w:fldCharType="begin"/>
      </w:r>
      <w:r w:rsidR="00744A07" w:rsidRPr="006041B3">
        <w:rPr>
          <w:b/>
          <w:noProof/>
          <w:lang w:val="en-IE"/>
        </w:rPr>
        <w:instrText xml:space="preserve"> REF _Ref229994631 \h  \* MERGEFORMAT </w:instrText>
      </w:r>
      <w:r w:rsidR="00744A07" w:rsidRPr="006041B3">
        <w:rPr>
          <w:b/>
          <w:noProof/>
          <w:lang w:val="en-IE"/>
        </w:rPr>
      </w:r>
      <w:r w:rsidR="00744A07" w:rsidRPr="006041B3">
        <w:rPr>
          <w:b/>
          <w:noProof/>
          <w:lang w:val="en-IE"/>
        </w:rPr>
        <w:fldChar w:fldCharType="separate"/>
      </w:r>
      <w:r w:rsidR="00227418" w:rsidRPr="00370F6C">
        <w:rPr>
          <w:b/>
          <w:noProof/>
        </w:rPr>
        <w:t>Figure 5</w:t>
      </w:r>
      <w:r w:rsidR="00744A07" w:rsidRPr="006041B3">
        <w:rPr>
          <w:b/>
          <w:noProof/>
          <w:lang w:val="en-IE"/>
        </w:rPr>
        <w:fldChar w:fldCharType="end"/>
      </w:r>
      <w:r w:rsidDel="00E94992">
        <w:rPr>
          <w:noProof/>
          <w:lang w:val="en-IE"/>
        </w:rPr>
        <w:t xml:space="preserve"> </w:t>
      </w:r>
      <w:r>
        <w:rPr>
          <w:noProof/>
          <w:lang w:val="en-IE"/>
        </w:rPr>
        <w:t>below present</w:t>
      </w:r>
      <w:r w:rsidR="00457194">
        <w:rPr>
          <w:noProof/>
          <w:lang w:val="en-IE"/>
        </w:rPr>
        <w:t>s</w:t>
      </w:r>
      <w:r>
        <w:rPr>
          <w:noProof/>
          <w:lang w:val="en-IE"/>
        </w:rPr>
        <w:t xml:space="preserve"> the </w:t>
      </w:r>
      <w:r w:rsidR="00CB4006">
        <w:rPr>
          <w:noProof/>
          <w:lang w:val="en-IE"/>
        </w:rPr>
        <w:t xml:space="preserve">ratio of cases with turnover between </w:t>
      </w:r>
      <w:r w:rsidR="00463397">
        <w:rPr>
          <w:noProof/>
          <w:lang w:val="en-IE"/>
        </w:rPr>
        <w:t>EUR 500 </w:t>
      </w:r>
      <w:r w:rsidR="00CB4006">
        <w:rPr>
          <w:noProof/>
          <w:lang w:val="en-IE"/>
        </w:rPr>
        <w:t>million and EUR 600 million across all economic activities.</w:t>
      </w:r>
      <w:r>
        <w:rPr>
          <w:noProof/>
          <w:lang w:val="en-IE"/>
        </w:rPr>
        <w:t xml:space="preserve"> </w:t>
      </w:r>
      <w:r w:rsidR="006F1A1C">
        <w:rPr>
          <w:noProof/>
          <w:lang w:val="en-IE"/>
        </w:rPr>
        <w:t>As noted above, the results are broadly comparable to the whole sample.</w:t>
      </w:r>
    </w:p>
    <w:p w14:paraId="7EFD0524" w14:textId="24B6C425" w:rsidR="00D82319" w:rsidRDefault="00D82319" w:rsidP="004A1922">
      <w:pPr>
        <w:rPr>
          <w:noProof/>
          <w:lang w:val="en-IE"/>
        </w:rPr>
      </w:pPr>
      <w:r>
        <w:rPr>
          <w:noProof/>
          <w:lang w:val="en-IE"/>
        </w:rPr>
        <w:t xml:space="preserve">Similarly, </w:t>
      </w:r>
      <w:r w:rsidR="00100FB1">
        <w:rPr>
          <w:noProof/>
          <w:lang w:val="en-IE"/>
        </w:rPr>
        <w:t>t</w:t>
      </w:r>
      <w:r w:rsidRPr="00D82319">
        <w:rPr>
          <w:noProof/>
          <w:lang w:val="en-IE"/>
        </w:rPr>
        <w:t xml:space="preserve">he FSR Review Study showed that, </w:t>
      </w:r>
      <w:r w:rsidR="00DC2804">
        <w:rPr>
          <w:noProof/>
          <w:lang w:val="en-IE"/>
        </w:rPr>
        <w:t>if the</w:t>
      </w:r>
      <w:r w:rsidRPr="00D82319">
        <w:rPr>
          <w:noProof/>
          <w:lang w:val="en-IE"/>
        </w:rPr>
        <w:t xml:space="preserve"> threshold </w:t>
      </w:r>
      <w:r w:rsidR="00DC2804">
        <w:rPr>
          <w:noProof/>
          <w:lang w:val="en-IE"/>
        </w:rPr>
        <w:t>were at</w:t>
      </w:r>
      <w:r w:rsidRPr="00D82319">
        <w:rPr>
          <w:noProof/>
          <w:lang w:val="en-IE"/>
        </w:rPr>
        <w:t xml:space="preserve"> </w:t>
      </w:r>
      <w:r w:rsidR="00463397" w:rsidRPr="00D82319">
        <w:rPr>
          <w:noProof/>
          <w:lang w:val="en-IE"/>
        </w:rPr>
        <w:t>EUR</w:t>
      </w:r>
      <w:r w:rsidR="00463397">
        <w:rPr>
          <w:noProof/>
          <w:lang w:val="en-IE"/>
        </w:rPr>
        <w:t> </w:t>
      </w:r>
      <w:r w:rsidRPr="00D82319">
        <w:rPr>
          <w:noProof/>
          <w:lang w:val="en-IE"/>
        </w:rPr>
        <w:t xml:space="preserve">600 million, a reduction of </w:t>
      </w:r>
      <w:r w:rsidR="00050D65">
        <w:rPr>
          <w:noProof/>
          <w:lang w:val="en-IE"/>
        </w:rPr>
        <w:t>16</w:t>
      </w:r>
      <w:r w:rsidRPr="00D82319">
        <w:rPr>
          <w:noProof/>
          <w:lang w:val="en-IE"/>
        </w:rPr>
        <w:t>% in cases notified to the Commission would have occurred</w:t>
      </w:r>
      <w:r w:rsidR="00621A30" w:rsidRPr="00621A30">
        <w:rPr>
          <w:noProof/>
          <w:lang w:val="en-IE"/>
        </w:rPr>
        <w:t> (</w:t>
      </w:r>
      <w:r w:rsidR="00621A30">
        <w:rPr>
          <w:rStyle w:val="FootnoteReference"/>
          <w:noProof/>
          <w:lang w:val="en-IE"/>
        </w:rPr>
        <w:footnoteReference w:id="61"/>
      </w:r>
      <w:r w:rsidR="00621A30">
        <w:rPr>
          <w:noProof/>
          <w:lang w:val="en-IE"/>
        </w:rPr>
        <w:t>)</w:t>
      </w:r>
      <w:r w:rsidR="006971DF">
        <w:rPr>
          <w:noProof/>
          <w:lang w:val="en-IE"/>
        </w:rPr>
        <w:t>.</w:t>
      </w:r>
    </w:p>
    <w:p w14:paraId="50AC8EFB" w14:textId="26E2ED40" w:rsidR="00DF74D4" w:rsidRDefault="00100FB1" w:rsidP="5849C651">
      <w:pPr>
        <w:rPr>
          <w:noProof/>
          <w:szCs w:val="24"/>
        </w:rPr>
      </w:pPr>
      <w:r>
        <w:rPr>
          <w:noProof/>
          <w:lang w:val="en-IE"/>
        </w:rPr>
        <w:t xml:space="preserve">The analysis on presence of specific patterns was performed also taking in account </w:t>
      </w:r>
      <w:r w:rsidR="00B40C30">
        <w:rPr>
          <w:noProof/>
          <w:lang w:val="en-IE"/>
        </w:rPr>
        <w:t xml:space="preserve">of several </w:t>
      </w:r>
      <w:r w:rsidR="00DD5969">
        <w:rPr>
          <w:noProof/>
          <w:lang w:val="en-IE"/>
        </w:rPr>
        <w:t>acts of EU secondary law</w:t>
      </w:r>
      <w:r w:rsidR="00CD0440" w:rsidRPr="00CD0440">
        <w:rPr>
          <w:noProof/>
          <w:lang w:val="en-IE"/>
        </w:rPr>
        <w:t> (</w:t>
      </w:r>
      <w:r w:rsidR="00CD0440">
        <w:rPr>
          <w:rStyle w:val="FootnoteReference"/>
          <w:noProof/>
          <w:lang w:val="en-IE"/>
        </w:rPr>
        <w:footnoteReference w:id="62"/>
      </w:r>
      <w:r w:rsidR="00CD0440">
        <w:rPr>
          <w:noProof/>
          <w:lang w:val="en-IE"/>
        </w:rPr>
        <w:t>)</w:t>
      </w:r>
      <w:r w:rsidR="0033402F">
        <w:rPr>
          <w:noProof/>
          <w:lang w:val="en-IE"/>
        </w:rPr>
        <w:t xml:space="preserve">, to verify any patterns </w:t>
      </w:r>
      <w:r w:rsidR="0062717D">
        <w:rPr>
          <w:noProof/>
          <w:lang w:val="en-IE"/>
        </w:rPr>
        <w:t>in</w:t>
      </w:r>
      <w:r w:rsidR="0033402F">
        <w:rPr>
          <w:noProof/>
          <w:lang w:val="en-IE"/>
        </w:rPr>
        <w:t xml:space="preserve"> the presence of the specific activities identified in those legislative acts and the reported turnover of the </w:t>
      </w:r>
      <w:r w:rsidR="00853091">
        <w:rPr>
          <w:noProof/>
          <w:lang w:val="en-IE"/>
        </w:rPr>
        <w:t>t</w:t>
      </w:r>
      <w:r w:rsidR="007A3981">
        <w:rPr>
          <w:noProof/>
          <w:lang w:val="en-IE"/>
        </w:rPr>
        <w:t>arget</w:t>
      </w:r>
      <w:r w:rsidR="0033402F">
        <w:rPr>
          <w:noProof/>
          <w:lang w:val="en-IE"/>
        </w:rPr>
        <w:t xml:space="preserve"> in notified concentration cases under the FSR</w:t>
      </w:r>
      <w:r w:rsidR="00CD0440">
        <w:rPr>
          <w:noProof/>
          <w:lang w:val="en-IE"/>
        </w:rPr>
        <w:t xml:space="preserve">. </w:t>
      </w:r>
      <w:r w:rsidR="00DF74D4" w:rsidRPr="009A6162">
        <w:rPr>
          <w:noProof/>
        </w:rPr>
        <w:t>For each legislation assessed, the distribution of cases with such activities</w:t>
      </w:r>
      <w:r>
        <w:rPr>
          <w:noProof/>
        </w:rPr>
        <w:t>,</w:t>
      </w:r>
      <w:r w:rsidR="00DF74D4" w:rsidRPr="009A6162">
        <w:rPr>
          <w:noProof/>
        </w:rPr>
        <w:t xml:space="preserve"> which concerned a </w:t>
      </w:r>
      <w:r w:rsidR="007A3981">
        <w:rPr>
          <w:noProof/>
        </w:rPr>
        <w:t>target</w:t>
      </w:r>
      <w:r w:rsidR="00DF74D4" w:rsidRPr="009A6162">
        <w:rPr>
          <w:noProof/>
        </w:rPr>
        <w:t xml:space="preserve"> with reported EU turnover below </w:t>
      </w:r>
      <w:r w:rsidR="003E5C6E" w:rsidRPr="009A6162">
        <w:rPr>
          <w:noProof/>
        </w:rPr>
        <w:t>EUR</w:t>
      </w:r>
      <w:r w:rsidR="003E5C6E">
        <w:rPr>
          <w:noProof/>
        </w:rPr>
        <w:t> </w:t>
      </w:r>
      <w:r w:rsidR="00DF74D4" w:rsidRPr="009A6162">
        <w:rPr>
          <w:noProof/>
        </w:rPr>
        <w:t>600 million</w:t>
      </w:r>
      <w:r>
        <w:rPr>
          <w:noProof/>
        </w:rPr>
        <w:t>,</w:t>
      </w:r>
      <w:r w:rsidR="00DF74D4" w:rsidRPr="009A6162">
        <w:rPr>
          <w:noProof/>
        </w:rPr>
        <w:t xml:space="preserve"> </w:t>
      </w:r>
      <w:r w:rsidR="007B4318" w:rsidRPr="009A6162">
        <w:rPr>
          <w:noProof/>
        </w:rPr>
        <w:t xml:space="preserve">does not differ materially from the overall distribution of cases </w:t>
      </w:r>
      <w:r w:rsidR="003D0C8C" w:rsidRPr="009A6162">
        <w:rPr>
          <w:noProof/>
        </w:rPr>
        <w:t>in these</w:t>
      </w:r>
      <w:r w:rsidR="007B4318" w:rsidRPr="009A6162">
        <w:rPr>
          <w:noProof/>
        </w:rPr>
        <w:t xml:space="preserve"> activities across all notified cases</w:t>
      </w:r>
      <w:r w:rsidR="00D46498">
        <w:rPr>
          <w:noProof/>
        </w:rPr>
        <w:t>.</w:t>
      </w:r>
      <w:r w:rsidR="00C85192" w:rsidRPr="009A6162">
        <w:rPr>
          <w:noProof/>
        </w:rPr>
        <w:t xml:space="preserve"> </w:t>
      </w:r>
      <w:r w:rsidR="00CD0440" w:rsidRPr="009A6162">
        <w:rPr>
          <w:noProof/>
        </w:rPr>
        <w:t xml:space="preserve">It </w:t>
      </w:r>
      <w:r w:rsidR="0062717D">
        <w:rPr>
          <w:noProof/>
        </w:rPr>
        <w:t>therefore</w:t>
      </w:r>
      <w:r w:rsidR="0062717D" w:rsidRPr="009A6162">
        <w:rPr>
          <w:noProof/>
        </w:rPr>
        <w:t xml:space="preserve"> </w:t>
      </w:r>
      <w:r w:rsidR="00CD0440" w:rsidRPr="009A6162">
        <w:rPr>
          <w:noProof/>
        </w:rPr>
        <w:t xml:space="preserve">seems that an increase of the turnover threshold </w:t>
      </w:r>
      <w:r w:rsidR="004F167F" w:rsidRPr="009A6162">
        <w:rPr>
          <w:noProof/>
        </w:rPr>
        <w:t xml:space="preserve">would </w:t>
      </w:r>
      <w:r w:rsidR="00CD0440" w:rsidRPr="009A6162">
        <w:rPr>
          <w:noProof/>
        </w:rPr>
        <w:t xml:space="preserve">not </w:t>
      </w:r>
      <w:r w:rsidR="00F06960">
        <w:rPr>
          <w:noProof/>
        </w:rPr>
        <w:t xml:space="preserve">limit </w:t>
      </w:r>
      <w:r w:rsidR="00D46498">
        <w:rPr>
          <w:noProof/>
        </w:rPr>
        <w:t xml:space="preserve">in a disproportionate way </w:t>
      </w:r>
      <w:r w:rsidR="00CD0440" w:rsidRPr="009A6162">
        <w:rPr>
          <w:noProof/>
        </w:rPr>
        <w:t>the Commission</w:t>
      </w:r>
      <w:r w:rsidR="00096047">
        <w:rPr>
          <w:noProof/>
        </w:rPr>
        <w:t>’s ability</w:t>
      </w:r>
      <w:r w:rsidR="00CD0440" w:rsidRPr="009A6162">
        <w:rPr>
          <w:noProof/>
        </w:rPr>
        <w:t xml:space="preserve"> to detect and, if necessary, address distortive foreign subsidies with respect to these economic activities.</w:t>
      </w:r>
    </w:p>
    <w:p w14:paraId="165803BD" w14:textId="3E1B897A" w:rsidR="00744A07" w:rsidRDefault="00744A07" w:rsidP="00744A07">
      <w:pPr>
        <w:pStyle w:val="Caption"/>
        <w:rPr>
          <w:noProof/>
        </w:rPr>
      </w:pPr>
      <w:bookmarkStart w:id="86" w:name="_Ref229994631"/>
      <w:r w:rsidRPr="006041B3">
        <w:rPr>
          <w:noProof/>
        </w:rPr>
        <w:t xml:space="preserve">Figure </w:t>
      </w:r>
      <w:r w:rsidRPr="006041B3">
        <w:rPr>
          <w:noProof/>
        </w:rPr>
        <w:fldChar w:fldCharType="begin"/>
      </w:r>
      <w:r w:rsidRPr="006041B3">
        <w:rPr>
          <w:noProof/>
        </w:rPr>
        <w:instrText xml:space="preserve"> SEQ Figure \* ARABIC </w:instrText>
      </w:r>
      <w:r w:rsidRPr="006041B3">
        <w:rPr>
          <w:noProof/>
        </w:rPr>
        <w:fldChar w:fldCharType="separate"/>
      </w:r>
      <w:r w:rsidR="00227418">
        <w:rPr>
          <w:noProof/>
        </w:rPr>
        <w:t>5</w:t>
      </w:r>
      <w:r w:rsidRPr="006041B3">
        <w:rPr>
          <w:noProof/>
        </w:rPr>
        <w:fldChar w:fldCharType="end"/>
      </w:r>
      <w:bookmarkEnd w:id="86"/>
      <w:r w:rsidRPr="006041B3">
        <w:rPr>
          <w:noProof/>
        </w:rPr>
        <w:t>: Economic</w:t>
      </w:r>
      <w:r w:rsidRPr="00A47B29">
        <w:rPr>
          <w:noProof/>
        </w:rPr>
        <w:t xml:space="preserve"> activities of </w:t>
      </w:r>
      <w:r w:rsidR="007A3981">
        <w:rPr>
          <w:noProof/>
        </w:rPr>
        <w:t>target</w:t>
      </w:r>
      <w:r w:rsidRPr="00A47B29">
        <w:rPr>
          <w:noProof/>
        </w:rPr>
        <w:t xml:space="preserve"> in the concentration, for cases where the Turnover of the </w:t>
      </w:r>
      <w:r w:rsidR="00853091">
        <w:rPr>
          <w:noProof/>
        </w:rPr>
        <w:t>t</w:t>
      </w:r>
      <w:r w:rsidR="007A3981">
        <w:rPr>
          <w:noProof/>
        </w:rPr>
        <w:t>arget</w:t>
      </w:r>
      <w:r w:rsidRPr="00A47B29">
        <w:rPr>
          <w:noProof/>
        </w:rPr>
        <w:t xml:space="preserve"> was below EUR 600 million</w:t>
      </w:r>
    </w:p>
    <w:p w14:paraId="58E8B803" w14:textId="77C4B287" w:rsidR="00CB4006" w:rsidRPr="00A47B29" w:rsidRDefault="006F1A1C" w:rsidP="000558E3">
      <w:pPr>
        <w:pStyle w:val="Figure"/>
        <w:rPr>
          <w:noProof/>
          <w:sz w:val="20"/>
          <w:lang w:val="en-IE"/>
        </w:rPr>
      </w:pPr>
      <w:r w:rsidRPr="006F1A1C">
        <w:rPr>
          <w:noProof/>
          <w:lang w:val="en-IE"/>
        </w:rPr>
        <w:t> </w:t>
      </w:r>
      <w:r w:rsidR="00C91D64">
        <w:rPr>
          <w:noProof/>
          <w:lang w:eastAsia="en-GB"/>
        </w:rPr>
        <w:drawing>
          <wp:inline distT="0" distB="0" distL="0" distR="0" wp14:anchorId="2F5BE9FC" wp14:editId="6C2D5335">
            <wp:extent cx="5472430" cy="3268494"/>
            <wp:effectExtent l="0" t="0" r="0" b="8255"/>
            <wp:docPr id="976939883" name="Chart 1">
              <a:extLst xmlns:a="http://schemas.openxmlformats.org/drawingml/2006/main">
                <a:ext uri="{FF2B5EF4-FFF2-40B4-BE49-F238E27FC236}">
                  <a16:creationId xmlns:a16="http://schemas.microsoft.com/office/drawing/2014/main" id="{97B82307-13FF-2A82-3957-128E6B01E3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E2C2841" w14:textId="7016251C" w:rsidR="0091395B" w:rsidRDefault="00DB5F25" w:rsidP="005A5C27">
      <w:pPr>
        <w:pStyle w:val="Source"/>
        <w:rPr>
          <w:noProof/>
          <w:lang w:val="en-IE"/>
        </w:rPr>
      </w:pPr>
      <w:r w:rsidRPr="00DE4720">
        <w:rPr>
          <w:noProof/>
          <w:lang w:val="en-IE"/>
        </w:rPr>
        <w:t>Source: Commission services</w:t>
      </w:r>
      <w:r w:rsidR="003E5C6E">
        <w:rPr>
          <w:noProof/>
          <w:lang w:val="en-IE"/>
        </w:rPr>
        <w:t>.</w:t>
      </w:r>
    </w:p>
    <w:p w14:paraId="41D67272" w14:textId="04AA2136" w:rsidR="00CB4006" w:rsidRDefault="00CB4006" w:rsidP="006041B3">
      <w:pPr>
        <w:pStyle w:val="ContNumLevel2"/>
        <w:keepNext/>
        <w:rPr>
          <w:noProof/>
        </w:rPr>
      </w:pPr>
      <w:r>
        <w:rPr>
          <w:noProof/>
        </w:rPr>
        <w:t xml:space="preserve">Consideration </w:t>
      </w:r>
      <w:r w:rsidR="00DB5F25">
        <w:rPr>
          <w:noProof/>
        </w:rPr>
        <w:t>paid for the concentration</w:t>
      </w:r>
    </w:p>
    <w:p w14:paraId="05247338" w14:textId="7A2481A9" w:rsidR="00821CD0" w:rsidRDefault="00CB4006" w:rsidP="004A1922">
      <w:pPr>
        <w:rPr>
          <w:noProof/>
        </w:rPr>
      </w:pPr>
      <w:r>
        <w:rPr>
          <w:noProof/>
        </w:rPr>
        <w:t xml:space="preserve">The internal analysis of cases </w:t>
      </w:r>
      <w:r w:rsidR="002127B0">
        <w:rPr>
          <w:noProof/>
        </w:rPr>
        <w:t>shows that</w:t>
      </w:r>
      <w:r w:rsidRPr="006A2A3D">
        <w:rPr>
          <w:noProof/>
        </w:rPr>
        <w:t xml:space="preserve"> the median of the consideration </w:t>
      </w:r>
      <w:r w:rsidR="00DB5F25">
        <w:rPr>
          <w:noProof/>
        </w:rPr>
        <w:t>paid</w:t>
      </w:r>
      <w:r w:rsidRPr="006A2A3D">
        <w:rPr>
          <w:noProof/>
        </w:rPr>
        <w:t xml:space="preserve"> over all </w:t>
      </w:r>
      <w:r w:rsidR="002127B0">
        <w:rPr>
          <w:noProof/>
        </w:rPr>
        <w:t xml:space="preserve">analysed </w:t>
      </w:r>
      <w:r w:rsidRPr="006A2A3D">
        <w:rPr>
          <w:noProof/>
        </w:rPr>
        <w:t xml:space="preserve">cases was around </w:t>
      </w:r>
      <w:r w:rsidR="003E5C6E" w:rsidRPr="006A2A3D">
        <w:rPr>
          <w:noProof/>
        </w:rPr>
        <w:t>EUR</w:t>
      </w:r>
      <w:r w:rsidR="003E5C6E">
        <w:rPr>
          <w:noProof/>
        </w:rPr>
        <w:t> </w:t>
      </w:r>
      <w:r w:rsidR="003E5C6E" w:rsidRPr="006A2A3D">
        <w:rPr>
          <w:noProof/>
        </w:rPr>
        <w:t>900</w:t>
      </w:r>
      <w:r w:rsidR="003E5C6E">
        <w:rPr>
          <w:noProof/>
        </w:rPr>
        <w:t> </w:t>
      </w:r>
      <w:r w:rsidRPr="006A2A3D">
        <w:rPr>
          <w:noProof/>
        </w:rPr>
        <w:t>million (i.e</w:t>
      </w:r>
      <w:r w:rsidR="00595ACB">
        <w:rPr>
          <w:noProof/>
        </w:rPr>
        <w:t>.,</w:t>
      </w:r>
      <w:r w:rsidRPr="006A2A3D">
        <w:rPr>
          <w:noProof/>
        </w:rPr>
        <w:t xml:space="preserve"> 50% of </w:t>
      </w:r>
      <w:r>
        <w:rPr>
          <w:noProof/>
        </w:rPr>
        <w:t xml:space="preserve">those </w:t>
      </w:r>
      <w:r w:rsidRPr="006A2A3D">
        <w:rPr>
          <w:noProof/>
        </w:rPr>
        <w:t xml:space="preserve">cases </w:t>
      </w:r>
      <w:r w:rsidR="00DB5F25">
        <w:rPr>
          <w:noProof/>
        </w:rPr>
        <w:t>the total</w:t>
      </w:r>
      <w:r w:rsidRPr="006A2A3D">
        <w:rPr>
          <w:noProof/>
        </w:rPr>
        <w:t xml:space="preserve"> consideration </w:t>
      </w:r>
      <w:r w:rsidR="00DB5F25">
        <w:rPr>
          <w:noProof/>
        </w:rPr>
        <w:t>paid was</w:t>
      </w:r>
      <w:r w:rsidR="00DB5F25" w:rsidRPr="006A2A3D">
        <w:rPr>
          <w:noProof/>
        </w:rPr>
        <w:t xml:space="preserve"> </w:t>
      </w:r>
      <w:r w:rsidRPr="006A2A3D">
        <w:rPr>
          <w:noProof/>
        </w:rPr>
        <w:t>EUR 900 million or less</w:t>
      </w:r>
      <w:r>
        <w:rPr>
          <w:noProof/>
        </w:rPr>
        <w:t>).</w:t>
      </w:r>
      <w:r w:rsidR="001B38D2">
        <w:rPr>
          <w:noProof/>
        </w:rPr>
        <w:t xml:space="preserve"> This distribution of reported consideration is </w:t>
      </w:r>
      <w:r w:rsidR="001B38D2" w:rsidRPr="006041B3">
        <w:rPr>
          <w:noProof/>
        </w:rPr>
        <w:t xml:space="preserve">presented in </w:t>
      </w:r>
      <w:r w:rsidR="002125D3" w:rsidRPr="006041B3">
        <w:rPr>
          <w:b/>
          <w:bCs/>
          <w:noProof/>
        </w:rPr>
        <w:fldChar w:fldCharType="begin"/>
      </w:r>
      <w:r w:rsidR="002125D3" w:rsidRPr="006041B3">
        <w:rPr>
          <w:b/>
          <w:bCs/>
          <w:noProof/>
        </w:rPr>
        <w:instrText xml:space="preserve"> REF _Ref229994739 \h </w:instrText>
      </w:r>
      <w:r w:rsidR="00006AC7" w:rsidRPr="006041B3">
        <w:rPr>
          <w:b/>
          <w:bCs/>
          <w:noProof/>
        </w:rPr>
        <w:instrText xml:space="preserve"> \* MERGEFORMAT </w:instrText>
      </w:r>
      <w:r w:rsidR="002125D3" w:rsidRPr="006041B3">
        <w:rPr>
          <w:b/>
          <w:bCs/>
          <w:noProof/>
        </w:rPr>
      </w:r>
      <w:r w:rsidR="002125D3" w:rsidRPr="006041B3">
        <w:rPr>
          <w:b/>
          <w:bCs/>
          <w:noProof/>
        </w:rPr>
        <w:fldChar w:fldCharType="separate"/>
      </w:r>
      <w:r w:rsidR="00227418" w:rsidRPr="00370F6C">
        <w:rPr>
          <w:b/>
          <w:bCs/>
          <w:noProof/>
        </w:rPr>
        <w:t>Figure 6</w:t>
      </w:r>
      <w:r w:rsidR="002125D3" w:rsidRPr="006041B3">
        <w:rPr>
          <w:b/>
          <w:bCs/>
          <w:noProof/>
        </w:rPr>
        <w:fldChar w:fldCharType="end"/>
      </w:r>
      <w:r w:rsidR="00FA2411">
        <w:rPr>
          <w:noProof/>
        </w:rPr>
        <w:t> </w:t>
      </w:r>
      <w:r w:rsidR="003C1816" w:rsidRPr="003C1816">
        <w:rPr>
          <w:noProof/>
        </w:rPr>
        <w:t>(</w:t>
      </w:r>
      <w:r w:rsidR="003C1816">
        <w:rPr>
          <w:rStyle w:val="FootnoteReference"/>
          <w:noProof/>
        </w:rPr>
        <w:footnoteReference w:id="63"/>
      </w:r>
      <w:r w:rsidR="003C1816">
        <w:rPr>
          <w:noProof/>
        </w:rPr>
        <w:t>)</w:t>
      </w:r>
      <w:r w:rsidR="00821CD0">
        <w:rPr>
          <w:noProof/>
        </w:rPr>
        <w:t>:</w:t>
      </w:r>
    </w:p>
    <w:p w14:paraId="417E5AA4" w14:textId="2D88CDE7" w:rsidR="00744A07" w:rsidRDefault="00744A07" w:rsidP="000E15D4">
      <w:pPr>
        <w:pStyle w:val="Caption"/>
        <w:rPr>
          <w:noProof/>
        </w:rPr>
      </w:pPr>
      <w:bookmarkStart w:id="87" w:name="_Ref229994739"/>
      <w:r w:rsidRPr="006041B3">
        <w:rPr>
          <w:noProof/>
        </w:rPr>
        <w:t xml:space="preserve">Figure </w:t>
      </w:r>
      <w:r w:rsidRPr="006041B3">
        <w:rPr>
          <w:noProof/>
        </w:rPr>
        <w:fldChar w:fldCharType="begin"/>
      </w:r>
      <w:r w:rsidRPr="006041B3">
        <w:rPr>
          <w:noProof/>
        </w:rPr>
        <w:instrText xml:space="preserve"> SEQ Figure \* ARABIC </w:instrText>
      </w:r>
      <w:r w:rsidRPr="006041B3">
        <w:rPr>
          <w:noProof/>
        </w:rPr>
        <w:fldChar w:fldCharType="separate"/>
      </w:r>
      <w:r w:rsidR="00227418">
        <w:rPr>
          <w:noProof/>
        </w:rPr>
        <w:t>6</w:t>
      </w:r>
      <w:r w:rsidRPr="006041B3">
        <w:rPr>
          <w:noProof/>
        </w:rPr>
        <w:fldChar w:fldCharType="end"/>
      </w:r>
      <w:bookmarkEnd w:id="87"/>
      <w:r w:rsidRPr="006041B3">
        <w:rPr>
          <w:noProof/>
        </w:rPr>
        <w:t>: Consideration</w:t>
      </w:r>
      <w:r>
        <w:rPr>
          <w:noProof/>
        </w:rPr>
        <w:t xml:space="preserve"> paid for the concentration</w:t>
      </w:r>
    </w:p>
    <w:p w14:paraId="41F83EF8" w14:textId="07B345DE" w:rsidR="00C91D64" w:rsidRPr="00C91D64" w:rsidRDefault="00C91D64" w:rsidP="005A5C27">
      <w:pPr>
        <w:pStyle w:val="Figure"/>
        <w:rPr>
          <w:noProof/>
        </w:rPr>
      </w:pPr>
      <w:r>
        <w:rPr>
          <w:noProof/>
          <w:lang w:eastAsia="en-GB"/>
        </w:rPr>
        <w:drawing>
          <wp:inline distT="0" distB="0" distL="0" distR="0" wp14:anchorId="038C0FB9" wp14:editId="2C195B13">
            <wp:extent cx="5443267" cy="3614468"/>
            <wp:effectExtent l="0" t="0" r="5080" b="5080"/>
            <wp:docPr id="1569522246" name="Chart 1">
              <a:extLst xmlns:a="http://schemas.openxmlformats.org/drawingml/2006/main">
                <a:ext uri="{FF2B5EF4-FFF2-40B4-BE49-F238E27FC236}">
                  <a16:creationId xmlns:a16="http://schemas.microsoft.com/office/drawing/2014/main" id="{733EE098-0DB5-4030-86C1-3B5BAD2D08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BB45107" w14:textId="7995EC7C" w:rsidR="001B38D2" w:rsidRDefault="001B38D2" w:rsidP="005A5C27">
      <w:pPr>
        <w:pStyle w:val="Source"/>
        <w:rPr>
          <w:noProof/>
        </w:rPr>
      </w:pPr>
      <w:r w:rsidRPr="00DE4720">
        <w:rPr>
          <w:noProof/>
          <w:lang w:val="en-IE"/>
        </w:rPr>
        <w:t>Source: Commission services</w:t>
      </w:r>
      <w:r w:rsidR="003E5C6E">
        <w:rPr>
          <w:noProof/>
          <w:lang w:val="en-IE"/>
        </w:rPr>
        <w:t>.</w:t>
      </w:r>
    </w:p>
    <w:p w14:paraId="554A0812" w14:textId="0886C163" w:rsidR="00E245E5" w:rsidRDefault="00CB4006" w:rsidP="006041B3">
      <w:pPr>
        <w:pStyle w:val="ContNumLevel2"/>
        <w:keepNext/>
        <w:rPr>
          <w:noProof/>
        </w:rPr>
      </w:pPr>
      <w:r>
        <w:rPr>
          <w:noProof/>
        </w:rPr>
        <w:t>Experience with pre-notification discussions</w:t>
      </w:r>
      <w:r w:rsidR="00C85192">
        <w:rPr>
          <w:noProof/>
        </w:rPr>
        <w:t xml:space="preserve"> (waivers and duration)</w:t>
      </w:r>
    </w:p>
    <w:p w14:paraId="1462D346" w14:textId="3F25A2C2" w:rsidR="00EA6FDA" w:rsidRDefault="00EA6FDA" w:rsidP="004A1922">
      <w:pPr>
        <w:rPr>
          <w:noProof/>
        </w:rPr>
      </w:pPr>
      <w:r>
        <w:rPr>
          <w:noProof/>
        </w:rPr>
        <w:t>The FSR Review Study analysed the duration of pre-notification discussions</w:t>
      </w:r>
      <w:r w:rsidRPr="00EA6FDA">
        <w:rPr>
          <w:noProof/>
        </w:rPr>
        <w:t> (</w:t>
      </w:r>
      <w:r w:rsidRPr="00A47B29">
        <w:rPr>
          <w:rStyle w:val="FootnoteReference"/>
          <w:noProof/>
        </w:rPr>
        <w:footnoteReference w:id="64"/>
      </w:r>
      <w:r>
        <w:rPr>
          <w:noProof/>
        </w:rPr>
        <w:t>)</w:t>
      </w:r>
      <w:r w:rsidR="006971DF">
        <w:rPr>
          <w:noProof/>
        </w:rPr>
        <w:t>.</w:t>
      </w:r>
    </w:p>
    <w:p w14:paraId="1A642284" w14:textId="6BA7986F" w:rsidR="00EA6FDA" w:rsidRDefault="0098349E" w:rsidP="004A1922">
      <w:pPr>
        <w:rPr>
          <w:noProof/>
        </w:rPr>
      </w:pPr>
      <w:r w:rsidRPr="0098349E">
        <w:rPr>
          <w:noProof/>
        </w:rPr>
        <w:t xml:space="preserve">Since the mandatory standstill period </w:t>
      </w:r>
      <w:r w:rsidR="009C6159">
        <w:rPr>
          <w:noProof/>
        </w:rPr>
        <w:t>in the preliminary review phase</w:t>
      </w:r>
      <w:r w:rsidRPr="0098349E">
        <w:rPr>
          <w:noProof/>
        </w:rPr>
        <w:t xml:space="preserve"> always lasts 25 working days in cases where the Commission does not initiate an in-depth investigation, only the number of days between the </w:t>
      </w:r>
      <w:r w:rsidR="00EA6FDA">
        <w:rPr>
          <w:noProof/>
        </w:rPr>
        <w:t>submission of the first d</w:t>
      </w:r>
      <w:r w:rsidRPr="0098349E">
        <w:rPr>
          <w:noProof/>
        </w:rPr>
        <w:t xml:space="preserve">raft </w:t>
      </w:r>
      <w:r w:rsidR="00EA6FDA">
        <w:rPr>
          <w:noProof/>
        </w:rPr>
        <w:t>n</w:t>
      </w:r>
      <w:r w:rsidRPr="0098349E">
        <w:rPr>
          <w:noProof/>
        </w:rPr>
        <w:t xml:space="preserve">otification </w:t>
      </w:r>
      <w:r w:rsidR="003E5C6E">
        <w:rPr>
          <w:noProof/>
        </w:rPr>
        <w:t xml:space="preserve">form </w:t>
      </w:r>
      <w:r w:rsidRPr="0098349E">
        <w:rPr>
          <w:noProof/>
        </w:rPr>
        <w:t xml:space="preserve">and the </w:t>
      </w:r>
      <w:r w:rsidR="00CF508F">
        <w:rPr>
          <w:noProof/>
        </w:rPr>
        <w:t>filing</w:t>
      </w:r>
      <w:r w:rsidRPr="0098349E">
        <w:rPr>
          <w:noProof/>
        </w:rPr>
        <w:t xml:space="preserve"> of the complete notification is variable and can be affected by the </w:t>
      </w:r>
      <w:r w:rsidR="00096047">
        <w:rPr>
          <w:noProof/>
        </w:rPr>
        <w:t>n</w:t>
      </w:r>
      <w:r w:rsidRPr="0098349E">
        <w:rPr>
          <w:noProof/>
        </w:rPr>
        <w:t xml:space="preserve">otifying </w:t>
      </w:r>
      <w:r w:rsidR="00096047">
        <w:rPr>
          <w:noProof/>
        </w:rPr>
        <w:t>p</w:t>
      </w:r>
      <w:r w:rsidRPr="0098349E">
        <w:rPr>
          <w:noProof/>
        </w:rPr>
        <w:t>arties and</w:t>
      </w:r>
      <w:r w:rsidR="003E5C6E">
        <w:rPr>
          <w:noProof/>
        </w:rPr>
        <w:t> </w:t>
      </w:r>
      <w:r w:rsidRPr="0098349E">
        <w:rPr>
          <w:noProof/>
        </w:rPr>
        <w:t>/</w:t>
      </w:r>
      <w:r w:rsidR="003E5C6E">
        <w:rPr>
          <w:noProof/>
        </w:rPr>
        <w:t xml:space="preserve"> </w:t>
      </w:r>
      <w:r w:rsidRPr="0098349E">
        <w:rPr>
          <w:noProof/>
        </w:rPr>
        <w:t xml:space="preserve">or the Commission. </w:t>
      </w:r>
    </w:p>
    <w:p w14:paraId="7AD4D21A" w14:textId="6566FDF1" w:rsidR="0098349E" w:rsidRDefault="0098349E" w:rsidP="004A1922">
      <w:pPr>
        <w:rPr>
          <w:noProof/>
        </w:rPr>
      </w:pPr>
      <w:r w:rsidRPr="0098349E">
        <w:rPr>
          <w:noProof/>
        </w:rPr>
        <w:t xml:space="preserve">The median number of working days in this pre-notification phase fell from 36 working days </w:t>
      </w:r>
      <w:r w:rsidR="00573325">
        <w:rPr>
          <w:noProof/>
        </w:rPr>
        <w:t xml:space="preserve">for cases notified between </w:t>
      </w:r>
      <w:r w:rsidR="007D30DF">
        <w:rPr>
          <w:noProof/>
        </w:rPr>
        <w:t>September 2023 and March 2024</w:t>
      </w:r>
      <w:r w:rsidR="007D30DF" w:rsidRPr="0098349E">
        <w:rPr>
          <w:noProof/>
        </w:rPr>
        <w:t xml:space="preserve"> to 24 working days</w:t>
      </w:r>
      <w:r w:rsidR="007D30DF">
        <w:rPr>
          <w:noProof/>
        </w:rPr>
        <w:t xml:space="preserve"> for cases notified between October 2024 and April 2025</w:t>
      </w:r>
      <w:r w:rsidRPr="0098349E">
        <w:rPr>
          <w:noProof/>
        </w:rPr>
        <w:t>, a notable reduction of around 33%.</w:t>
      </w:r>
      <w:r w:rsidRPr="0098349E" w:rsidDel="00890E49">
        <w:rPr>
          <w:noProof/>
        </w:rPr>
        <w:t xml:space="preserve"> </w:t>
      </w:r>
      <w:r w:rsidRPr="0098349E">
        <w:rPr>
          <w:noProof/>
        </w:rPr>
        <w:t xml:space="preserve">This </w:t>
      </w:r>
      <w:r w:rsidR="00890E49">
        <w:rPr>
          <w:noProof/>
        </w:rPr>
        <w:t>suggests that</w:t>
      </w:r>
      <w:r w:rsidRPr="0098349E">
        <w:rPr>
          <w:noProof/>
        </w:rPr>
        <w:t xml:space="preserve"> the Commission services, the </w:t>
      </w:r>
      <w:r w:rsidR="00096047">
        <w:rPr>
          <w:noProof/>
        </w:rPr>
        <w:t>n</w:t>
      </w:r>
      <w:r w:rsidRPr="0098349E">
        <w:rPr>
          <w:noProof/>
        </w:rPr>
        <w:t xml:space="preserve">otifying </w:t>
      </w:r>
      <w:r w:rsidR="00096047">
        <w:rPr>
          <w:noProof/>
        </w:rPr>
        <w:t>p</w:t>
      </w:r>
      <w:r w:rsidRPr="0098349E">
        <w:rPr>
          <w:noProof/>
        </w:rPr>
        <w:t xml:space="preserve">arties, or both have become more familiar and efficient with the </w:t>
      </w:r>
      <w:r w:rsidR="002774FB">
        <w:rPr>
          <w:noProof/>
        </w:rPr>
        <w:t xml:space="preserve">(pre-) </w:t>
      </w:r>
      <w:r w:rsidRPr="0098349E">
        <w:rPr>
          <w:noProof/>
        </w:rPr>
        <w:t>notification process and analysis.</w:t>
      </w:r>
    </w:p>
    <w:p w14:paraId="41AD11BA" w14:textId="0C77CCB5" w:rsidR="0098349E" w:rsidRDefault="0098349E" w:rsidP="00E337AB">
      <w:pPr>
        <w:pStyle w:val="Caption"/>
        <w:rPr>
          <w:noProof/>
        </w:rPr>
      </w:pPr>
      <w:r w:rsidRPr="00A47B29">
        <w:rPr>
          <w:noProof/>
        </w:rPr>
        <w:t xml:space="preserve">Table </w:t>
      </w:r>
      <w:r w:rsidRPr="00A47B29">
        <w:rPr>
          <w:noProof/>
        </w:rPr>
        <w:fldChar w:fldCharType="begin"/>
      </w:r>
      <w:r w:rsidRPr="00026EF7">
        <w:rPr>
          <w:noProof/>
          <w:szCs w:val="22"/>
        </w:rPr>
        <w:instrText xml:space="preserve"> SEQ Table \* ARABIC </w:instrText>
      </w:r>
      <w:r w:rsidRPr="00A47B29">
        <w:rPr>
          <w:noProof/>
          <w:szCs w:val="22"/>
        </w:rPr>
        <w:fldChar w:fldCharType="separate"/>
      </w:r>
      <w:r w:rsidR="00227418">
        <w:rPr>
          <w:noProof/>
          <w:szCs w:val="22"/>
        </w:rPr>
        <w:t>4</w:t>
      </w:r>
      <w:r w:rsidRPr="00A47B29">
        <w:rPr>
          <w:noProof/>
        </w:rPr>
        <w:fldChar w:fldCharType="end"/>
      </w:r>
      <w:r w:rsidRPr="00A47B29">
        <w:rPr>
          <w:noProof/>
        </w:rPr>
        <w:t xml:space="preserve">: Average number of working days from </w:t>
      </w:r>
      <w:r w:rsidR="00096047">
        <w:rPr>
          <w:noProof/>
        </w:rPr>
        <w:t>d</w:t>
      </w:r>
      <w:r w:rsidRPr="00A47B29">
        <w:rPr>
          <w:noProof/>
        </w:rPr>
        <w:t xml:space="preserve">raft </w:t>
      </w:r>
      <w:r w:rsidR="00096047">
        <w:rPr>
          <w:noProof/>
        </w:rPr>
        <w:t>n</w:t>
      </w:r>
      <w:r w:rsidRPr="00A47B29">
        <w:rPr>
          <w:noProof/>
        </w:rPr>
        <w:t xml:space="preserve">otification to </w:t>
      </w:r>
      <w:r w:rsidR="00096047">
        <w:rPr>
          <w:noProof/>
        </w:rPr>
        <w:t>l</w:t>
      </w:r>
      <w:r w:rsidRPr="00A47B29">
        <w:rPr>
          <w:noProof/>
        </w:rPr>
        <w:t xml:space="preserve">egal </w:t>
      </w:r>
      <w:r w:rsidR="00096047">
        <w:rPr>
          <w:noProof/>
        </w:rPr>
        <w:t>d</w:t>
      </w:r>
      <w:r w:rsidRPr="00A47B29">
        <w:rPr>
          <w:noProof/>
        </w:rPr>
        <w:t>eadline (by period)</w:t>
      </w:r>
    </w:p>
    <w:tbl>
      <w:tblPr>
        <w:tblStyle w:val="EurolookClassicGrey"/>
        <w:tblW w:w="5000" w:type="pct"/>
        <w:jc w:val="center"/>
        <w:tblLook w:val="0620" w:firstRow="1" w:lastRow="0" w:firstColumn="0" w:lastColumn="0" w:noHBand="1" w:noVBand="1"/>
      </w:tblPr>
      <w:tblGrid>
        <w:gridCol w:w="1785"/>
        <w:gridCol w:w="1465"/>
        <w:gridCol w:w="1784"/>
        <w:gridCol w:w="1784"/>
        <w:gridCol w:w="1784"/>
      </w:tblGrid>
      <w:tr w:rsidR="005A5C27" w:rsidRPr="00026EF7" w14:paraId="6B23E2A8" w14:textId="77777777" w:rsidTr="00DC5A33">
        <w:trPr>
          <w:cnfStyle w:val="100000000000" w:firstRow="1" w:lastRow="0" w:firstColumn="0" w:lastColumn="0" w:oddVBand="0" w:evenVBand="0" w:oddHBand="0" w:evenHBand="0" w:firstRowFirstColumn="0" w:firstRowLastColumn="0" w:lastRowFirstColumn="0" w:lastRowLastColumn="0"/>
          <w:jc w:val="center"/>
        </w:trPr>
        <w:tc>
          <w:tcPr>
            <w:tcW w:w="0" w:type="pct"/>
          </w:tcPr>
          <w:p w14:paraId="4D97C1E0" w14:textId="77777777" w:rsidR="005A5C27" w:rsidRPr="00026EF7" w:rsidRDefault="005A5C27" w:rsidP="00DC5A33">
            <w:pPr>
              <w:pStyle w:val="TableHeading"/>
              <w:keepNext/>
              <w:jc w:val="both"/>
              <w:rPr>
                <w:rFonts w:ascii="Times New Roman" w:hAnsi="Times New Roman" w:cs="Times New Roman"/>
                <w:b w:val="0"/>
                <w:noProof/>
                <w:color w:val="FFFFFF" w:themeColor="background1"/>
                <w:sz w:val="24"/>
                <w:szCs w:val="24"/>
              </w:rPr>
            </w:pPr>
            <w:r w:rsidRPr="00026EF7">
              <w:rPr>
                <w:rFonts w:ascii="Times New Roman" w:hAnsi="Times New Roman" w:cs="Times New Roman"/>
                <w:b w:val="0"/>
                <w:noProof/>
                <w:color w:val="FFFFFF" w:themeColor="background1"/>
                <w:sz w:val="24"/>
                <w:szCs w:val="24"/>
              </w:rPr>
              <w:t>Draft notification period</w:t>
            </w:r>
          </w:p>
        </w:tc>
        <w:tc>
          <w:tcPr>
            <w:tcW w:w="0" w:type="pct"/>
          </w:tcPr>
          <w:p w14:paraId="51F59D58" w14:textId="77777777" w:rsidR="005A5C27" w:rsidRPr="00026EF7" w:rsidRDefault="005A5C27" w:rsidP="00DC5A33">
            <w:pPr>
              <w:pStyle w:val="Table"/>
              <w:keepNext/>
              <w:rPr>
                <w:noProof/>
              </w:rPr>
            </w:pPr>
            <w:r w:rsidRPr="00026EF7">
              <w:rPr>
                <w:noProof/>
              </w:rPr>
              <w:t>Number of cases notified</w:t>
            </w:r>
          </w:p>
        </w:tc>
        <w:tc>
          <w:tcPr>
            <w:tcW w:w="0" w:type="pct"/>
          </w:tcPr>
          <w:p w14:paraId="56A2132E" w14:textId="675E6D53" w:rsidR="005A5C27" w:rsidRPr="00026EF7" w:rsidRDefault="005A5C27" w:rsidP="00DC5A33">
            <w:pPr>
              <w:pStyle w:val="TableHeading"/>
              <w:keepNext/>
              <w:jc w:val="center"/>
              <w:rPr>
                <w:rFonts w:ascii="Times New Roman" w:hAnsi="Times New Roman" w:cs="Times New Roman"/>
                <w:b w:val="0"/>
                <w:noProof/>
                <w:color w:val="FFFFFF" w:themeColor="background1"/>
                <w:sz w:val="24"/>
                <w:szCs w:val="24"/>
              </w:rPr>
            </w:pPr>
            <w:r w:rsidRPr="00026EF7">
              <w:rPr>
                <w:rFonts w:ascii="Times New Roman" w:hAnsi="Times New Roman" w:cs="Times New Roman"/>
                <w:b w:val="0"/>
                <w:noProof/>
                <w:color w:val="FFFFFF" w:themeColor="background1"/>
                <w:sz w:val="24"/>
                <w:szCs w:val="24"/>
              </w:rPr>
              <w:t xml:space="preserve">Average working days from </w:t>
            </w:r>
            <w:r w:rsidR="00096047">
              <w:rPr>
                <w:rFonts w:ascii="Times New Roman" w:hAnsi="Times New Roman" w:cs="Times New Roman"/>
                <w:b w:val="0"/>
                <w:noProof/>
                <w:color w:val="FFFFFF" w:themeColor="background1"/>
                <w:sz w:val="24"/>
                <w:szCs w:val="24"/>
              </w:rPr>
              <w:t>d</w:t>
            </w:r>
            <w:r w:rsidRPr="00026EF7">
              <w:rPr>
                <w:rFonts w:ascii="Times New Roman" w:hAnsi="Times New Roman" w:cs="Times New Roman"/>
                <w:b w:val="0"/>
                <w:noProof/>
                <w:color w:val="FFFFFF" w:themeColor="background1"/>
                <w:sz w:val="24"/>
                <w:szCs w:val="24"/>
              </w:rPr>
              <w:t xml:space="preserve">raft </w:t>
            </w:r>
            <w:r w:rsidR="00096047">
              <w:rPr>
                <w:rFonts w:ascii="Times New Roman" w:hAnsi="Times New Roman" w:cs="Times New Roman"/>
                <w:b w:val="0"/>
                <w:noProof/>
                <w:color w:val="FFFFFF" w:themeColor="background1"/>
                <w:sz w:val="24"/>
                <w:szCs w:val="24"/>
              </w:rPr>
              <w:t>n</w:t>
            </w:r>
            <w:r w:rsidRPr="00026EF7">
              <w:rPr>
                <w:rFonts w:ascii="Times New Roman" w:hAnsi="Times New Roman" w:cs="Times New Roman"/>
                <w:b w:val="0"/>
                <w:noProof/>
                <w:color w:val="FFFFFF" w:themeColor="background1"/>
                <w:sz w:val="24"/>
                <w:szCs w:val="24"/>
              </w:rPr>
              <w:t>otification to end of standstill period</w:t>
            </w:r>
          </w:p>
        </w:tc>
        <w:tc>
          <w:tcPr>
            <w:tcW w:w="0" w:type="pct"/>
          </w:tcPr>
          <w:p w14:paraId="22C6C03A" w14:textId="6BA064B9" w:rsidR="005A5C27" w:rsidRPr="00026EF7" w:rsidRDefault="005A5C27" w:rsidP="00DC5A33">
            <w:pPr>
              <w:pStyle w:val="TableHeading"/>
              <w:keepNext/>
              <w:jc w:val="center"/>
              <w:rPr>
                <w:rFonts w:ascii="Times New Roman" w:hAnsi="Times New Roman" w:cs="Times New Roman"/>
                <w:b w:val="0"/>
                <w:noProof/>
                <w:color w:val="FFFFFF" w:themeColor="background1"/>
                <w:sz w:val="24"/>
                <w:szCs w:val="24"/>
              </w:rPr>
            </w:pPr>
            <w:r w:rsidRPr="00026EF7">
              <w:rPr>
                <w:rFonts w:ascii="Times New Roman" w:hAnsi="Times New Roman" w:cs="Times New Roman"/>
                <w:b w:val="0"/>
                <w:noProof/>
                <w:color w:val="FFFFFF" w:themeColor="background1"/>
                <w:sz w:val="24"/>
                <w:szCs w:val="24"/>
              </w:rPr>
              <w:t xml:space="preserve">Median working days from </w:t>
            </w:r>
            <w:r w:rsidR="00096047">
              <w:rPr>
                <w:rFonts w:ascii="Times New Roman" w:hAnsi="Times New Roman" w:cs="Times New Roman"/>
                <w:b w:val="0"/>
                <w:noProof/>
                <w:color w:val="FFFFFF" w:themeColor="background1"/>
                <w:sz w:val="24"/>
                <w:szCs w:val="24"/>
              </w:rPr>
              <w:t>d</w:t>
            </w:r>
            <w:r w:rsidRPr="00026EF7">
              <w:rPr>
                <w:rFonts w:ascii="Times New Roman" w:hAnsi="Times New Roman" w:cs="Times New Roman"/>
                <w:b w:val="0"/>
                <w:noProof/>
                <w:color w:val="FFFFFF" w:themeColor="background1"/>
                <w:sz w:val="24"/>
                <w:szCs w:val="24"/>
              </w:rPr>
              <w:t xml:space="preserve">raft </w:t>
            </w:r>
            <w:r w:rsidR="00096047">
              <w:rPr>
                <w:rFonts w:ascii="Times New Roman" w:hAnsi="Times New Roman" w:cs="Times New Roman"/>
                <w:b w:val="0"/>
                <w:noProof/>
                <w:color w:val="FFFFFF" w:themeColor="background1"/>
                <w:sz w:val="24"/>
                <w:szCs w:val="24"/>
              </w:rPr>
              <w:t>n</w:t>
            </w:r>
            <w:r w:rsidRPr="00026EF7">
              <w:rPr>
                <w:rFonts w:ascii="Times New Roman" w:hAnsi="Times New Roman" w:cs="Times New Roman"/>
                <w:b w:val="0"/>
                <w:noProof/>
                <w:color w:val="FFFFFF" w:themeColor="background1"/>
                <w:sz w:val="24"/>
                <w:szCs w:val="24"/>
              </w:rPr>
              <w:t>otification to end of standstill period</w:t>
            </w:r>
          </w:p>
        </w:tc>
        <w:tc>
          <w:tcPr>
            <w:tcW w:w="0" w:type="pct"/>
          </w:tcPr>
          <w:p w14:paraId="3DC935DB" w14:textId="060FE125" w:rsidR="005A5C27" w:rsidRPr="00026EF7" w:rsidRDefault="005A5C27" w:rsidP="00DC5A33">
            <w:pPr>
              <w:pStyle w:val="TableHeading"/>
              <w:keepNext/>
              <w:jc w:val="center"/>
              <w:rPr>
                <w:rFonts w:ascii="Times New Roman" w:hAnsi="Times New Roman" w:cs="Times New Roman"/>
                <w:b w:val="0"/>
                <w:noProof/>
                <w:color w:val="FFFFFF" w:themeColor="background1"/>
                <w:sz w:val="24"/>
                <w:szCs w:val="24"/>
              </w:rPr>
            </w:pPr>
            <w:r w:rsidRPr="00026EF7">
              <w:rPr>
                <w:rFonts w:ascii="Times New Roman" w:hAnsi="Times New Roman" w:cs="Times New Roman"/>
                <w:b w:val="0"/>
                <w:noProof/>
                <w:color w:val="FFFFFF" w:themeColor="background1"/>
                <w:sz w:val="24"/>
                <w:szCs w:val="24"/>
              </w:rPr>
              <w:t xml:space="preserve">Median working days from </w:t>
            </w:r>
            <w:r w:rsidR="00096047">
              <w:rPr>
                <w:rFonts w:ascii="Times New Roman" w:hAnsi="Times New Roman" w:cs="Times New Roman"/>
                <w:b w:val="0"/>
                <w:noProof/>
                <w:color w:val="FFFFFF" w:themeColor="background1"/>
                <w:sz w:val="24"/>
                <w:szCs w:val="24"/>
              </w:rPr>
              <w:t>d</w:t>
            </w:r>
            <w:r w:rsidRPr="00026EF7">
              <w:rPr>
                <w:rFonts w:ascii="Times New Roman" w:hAnsi="Times New Roman" w:cs="Times New Roman"/>
                <w:b w:val="0"/>
                <w:noProof/>
                <w:color w:val="FFFFFF" w:themeColor="background1"/>
                <w:sz w:val="24"/>
                <w:szCs w:val="24"/>
              </w:rPr>
              <w:t xml:space="preserve">raft </w:t>
            </w:r>
            <w:r w:rsidR="00096047">
              <w:rPr>
                <w:rFonts w:ascii="Times New Roman" w:hAnsi="Times New Roman" w:cs="Times New Roman"/>
                <w:b w:val="0"/>
                <w:noProof/>
                <w:color w:val="FFFFFF" w:themeColor="background1"/>
                <w:sz w:val="24"/>
                <w:szCs w:val="24"/>
              </w:rPr>
              <w:t>n</w:t>
            </w:r>
            <w:r w:rsidRPr="00026EF7">
              <w:rPr>
                <w:rFonts w:ascii="Times New Roman" w:hAnsi="Times New Roman" w:cs="Times New Roman"/>
                <w:b w:val="0"/>
                <w:noProof/>
                <w:color w:val="FFFFFF" w:themeColor="background1"/>
                <w:sz w:val="24"/>
                <w:szCs w:val="24"/>
              </w:rPr>
              <w:t>otification to receipt of complete notification</w:t>
            </w:r>
          </w:p>
        </w:tc>
      </w:tr>
      <w:tr w:rsidR="005A5C27" w:rsidRPr="0098349E" w14:paraId="6ADF4A12" w14:textId="77777777" w:rsidTr="00DC5A33">
        <w:trPr>
          <w:jc w:val="center"/>
        </w:trPr>
        <w:tc>
          <w:tcPr>
            <w:tcW w:w="0" w:type="pct"/>
          </w:tcPr>
          <w:p w14:paraId="5ABB278A" w14:textId="77777777" w:rsidR="005A5C27" w:rsidRPr="0098349E" w:rsidRDefault="005A5C27" w:rsidP="00DC5A33">
            <w:pPr>
              <w:pStyle w:val="TableText"/>
              <w:keepNext/>
              <w:jc w:val="both"/>
              <w:rPr>
                <w:bCs/>
                <w:noProof/>
                <w:szCs w:val="24"/>
              </w:rPr>
            </w:pPr>
            <w:r w:rsidRPr="00A47B29">
              <w:rPr>
                <w:noProof/>
              </w:rPr>
              <w:t>September 2023 - March 2024</w:t>
            </w:r>
          </w:p>
        </w:tc>
        <w:tc>
          <w:tcPr>
            <w:tcW w:w="0" w:type="pct"/>
          </w:tcPr>
          <w:p w14:paraId="58E8B12C" w14:textId="77777777" w:rsidR="005A5C27" w:rsidRPr="0098349E" w:rsidRDefault="005A5C27" w:rsidP="00DC5A33">
            <w:pPr>
              <w:pStyle w:val="TableText"/>
              <w:keepNext/>
              <w:jc w:val="center"/>
              <w:rPr>
                <w:bCs/>
                <w:noProof/>
                <w:szCs w:val="24"/>
              </w:rPr>
            </w:pPr>
            <w:r w:rsidRPr="00A47B29">
              <w:rPr>
                <w:noProof/>
              </w:rPr>
              <w:t>36</w:t>
            </w:r>
          </w:p>
        </w:tc>
        <w:tc>
          <w:tcPr>
            <w:tcW w:w="0" w:type="pct"/>
          </w:tcPr>
          <w:p w14:paraId="71E1CF3B" w14:textId="77777777" w:rsidR="005A5C27" w:rsidRPr="0098349E" w:rsidRDefault="005A5C27" w:rsidP="00DC5A33">
            <w:pPr>
              <w:pStyle w:val="TableText"/>
              <w:keepNext/>
              <w:jc w:val="center"/>
              <w:rPr>
                <w:bCs/>
                <w:noProof/>
                <w:szCs w:val="24"/>
              </w:rPr>
            </w:pPr>
            <w:r w:rsidRPr="00A47B29">
              <w:rPr>
                <w:noProof/>
              </w:rPr>
              <w:t>67</w:t>
            </w:r>
          </w:p>
        </w:tc>
        <w:tc>
          <w:tcPr>
            <w:tcW w:w="0" w:type="pct"/>
          </w:tcPr>
          <w:p w14:paraId="7ED7FA00" w14:textId="77777777" w:rsidR="005A5C27" w:rsidRPr="0098349E" w:rsidRDefault="005A5C27" w:rsidP="00DC5A33">
            <w:pPr>
              <w:pStyle w:val="TableText"/>
              <w:keepNext/>
              <w:jc w:val="center"/>
              <w:rPr>
                <w:bCs/>
                <w:noProof/>
                <w:szCs w:val="24"/>
              </w:rPr>
            </w:pPr>
            <w:r w:rsidRPr="00A47B29">
              <w:rPr>
                <w:noProof/>
              </w:rPr>
              <w:t>61</w:t>
            </w:r>
          </w:p>
        </w:tc>
        <w:tc>
          <w:tcPr>
            <w:tcW w:w="0" w:type="pct"/>
          </w:tcPr>
          <w:p w14:paraId="3E9EBDAC" w14:textId="77777777" w:rsidR="005A5C27" w:rsidRPr="0098349E" w:rsidRDefault="005A5C27" w:rsidP="00DC5A33">
            <w:pPr>
              <w:pStyle w:val="TableText"/>
              <w:keepNext/>
              <w:jc w:val="center"/>
              <w:rPr>
                <w:bCs/>
                <w:noProof/>
                <w:szCs w:val="24"/>
              </w:rPr>
            </w:pPr>
            <w:r w:rsidRPr="00A47B29">
              <w:rPr>
                <w:noProof/>
              </w:rPr>
              <w:t>36</w:t>
            </w:r>
          </w:p>
        </w:tc>
      </w:tr>
      <w:tr w:rsidR="005A5C27" w:rsidRPr="0098349E" w14:paraId="122322E6" w14:textId="77777777" w:rsidTr="00DC5A33">
        <w:trPr>
          <w:jc w:val="center"/>
        </w:trPr>
        <w:tc>
          <w:tcPr>
            <w:tcW w:w="0" w:type="pct"/>
          </w:tcPr>
          <w:p w14:paraId="13298589" w14:textId="77777777" w:rsidR="005A5C27" w:rsidRPr="0098349E" w:rsidRDefault="005A5C27" w:rsidP="00DC5A33">
            <w:pPr>
              <w:pStyle w:val="TableText"/>
              <w:keepNext/>
              <w:jc w:val="both"/>
              <w:rPr>
                <w:bCs/>
                <w:noProof/>
                <w:szCs w:val="24"/>
              </w:rPr>
            </w:pPr>
            <w:r w:rsidRPr="00A47B29">
              <w:rPr>
                <w:noProof/>
              </w:rPr>
              <w:t>April 2024 - September 2024</w:t>
            </w:r>
          </w:p>
        </w:tc>
        <w:tc>
          <w:tcPr>
            <w:tcW w:w="0" w:type="pct"/>
          </w:tcPr>
          <w:p w14:paraId="3AF488F3" w14:textId="77777777" w:rsidR="005A5C27" w:rsidRPr="0098349E" w:rsidRDefault="005A5C27" w:rsidP="00DC5A33">
            <w:pPr>
              <w:pStyle w:val="TableText"/>
              <w:keepNext/>
              <w:jc w:val="center"/>
              <w:rPr>
                <w:bCs/>
                <w:noProof/>
                <w:szCs w:val="24"/>
              </w:rPr>
            </w:pPr>
            <w:r w:rsidRPr="00A47B29">
              <w:rPr>
                <w:noProof/>
              </w:rPr>
              <w:t>29</w:t>
            </w:r>
          </w:p>
        </w:tc>
        <w:tc>
          <w:tcPr>
            <w:tcW w:w="0" w:type="pct"/>
          </w:tcPr>
          <w:p w14:paraId="5236A440" w14:textId="77777777" w:rsidR="005A5C27" w:rsidRPr="0098349E" w:rsidRDefault="005A5C27" w:rsidP="00DC5A33">
            <w:pPr>
              <w:pStyle w:val="TableText"/>
              <w:keepNext/>
              <w:jc w:val="center"/>
              <w:rPr>
                <w:bCs/>
                <w:noProof/>
                <w:szCs w:val="24"/>
              </w:rPr>
            </w:pPr>
            <w:r w:rsidRPr="00A47B29">
              <w:rPr>
                <w:noProof/>
              </w:rPr>
              <w:t>64</w:t>
            </w:r>
          </w:p>
        </w:tc>
        <w:tc>
          <w:tcPr>
            <w:tcW w:w="0" w:type="pct"/>
          </w:tcPr>
          <w:p w14:paraId="1547FA27" w14:textId="77777777" w:rsidR="005A5C27" w:rsidRPr="0098349E" w:rsidRDefault="005A5C27" w:rsidP="00DC5A33">
            <w:pPr>
              <w:pStyle w:val="TableText"/>
              <w:keepNext/>
              <w:jc w:val="center"/>
              <w:rPr>
                <w:bCs/>
                <w:noProof/>
                <w:szCs w:val="24"/>
              </w:rPr>
            </w:pPr>
            <w:r w:rsidRPr="00A47B29">
              <w:rPr>
                <w:noProof/>
              </w:rPr>
              <w:t>58</w:t>
            </w:r>
          </w:p>
        </w:tc>
        <w:tc>
          <w:tcPr>
            <w:tcW w:w="0" w:type="pct"/>
          </w:tcPr>
          <w:p w14:paraId="055467EA" w14:textId="77777777" w:rsidR="005A5C27" w:rsidRPr="0098349E" w:rsidRDefault="005A5C27" w:rsidP="00DC5A33">
            <w:pPr>
              <w:pStyle w:val="TableText"/>
              <w:keepNext/>
              <w:jc w:val="center"/>
              <w:rPr>
                <w:bCs/>
                <w:noProof/>
                <w:szCs w:val="24"/>
              </w:rPr>
            </w:pPr>
            <w:r w:rsidRPr="00A47B29">
              <w:rPr>
                <w:noProof/>
              </w:rPr>
              <w:t>33</w:t>
            </w:r>
          </w:p>
        </w:tc>
      </w:tr>
      <w:tr w:rsidR="005A5C27" w:rsidRPr="0098349E" w14:paraId="3DA83147" w14:textId="77777777" w:rsidTr="00DC5A33">
        <w:trPr>
          <w:jc w:val="center"/>
        </w:trPr>
        <w:tc>
          <w:tcPr>
            <w:tcW w:w="0" w:type="pct"/>
          </w:tcPr>
          <w:p w14:paraId="68FE8F71" w14:textId="77777777" w:rsidR="005A5C27" w:rsidRPr="0098349E" w:rsidRDefault="005A5C27" w:rsidP="00DC5A33">
            <w:pPr>
              <w:pStyle w:val="TableText"/>
              <w:keepNext/>
              <w:jc w:val="both"/>
              <w:rPr>
                <w:bCs/>
                <w:noProof/>
                <w:szCs w:val="24"/>
              </w:rPr>
            </w:pPr>
            <w:r w:rsidRPr="00A47B29">
              <w:rPr>
                <w:noProof/>
              </w:rPr>
              <w:t>October 2024 - April 2025</w:t>
            </w:r>
          </w:p>
        </w:tc>
        <w:tc>
          <w:tcPr>
            <w:tcW w:w="0" w:type="pct"/>
          </w:tcPr>
          <w:p w14:paraId="08D1E39B" w14:textId="77777777" w:rsidR="005A5C27" w:rsidRPr="0098349E" w:rsidRDefault="005A5C27" w:rsidP="00DC5A33">
            <w:pPr>
              <w:pStyle w:val="TableText"/>
              <w:keepNext/>
              <w:jc w:val="center"/>
              <w:rPr>
                <w:bCs/>
                <w:noProof/>
                <w:szCs w:val="24"/>
              </w:rPr>
            </w:pPr>
            <w:r w:rsidRPr="00A47B29">
              <w:rPr>
                <w:noProof/>
              </w:rPr>
              <w:t>25</w:t>
            </w:r>
          </w:p>
        </w:tc>
        <w:tc>
          <w:tcPr>
            <w:tcW w:w="0" w:type="pct"/>
          </w:tcPr>
          <w:p w14:paraId="771566F4" w14:textId="77777777" w:rsidR="005A5C27" w:rsidRPr="0098349E" w:rsidRDefault="005A5C27" w:rsidP="00DC5A33">
            <w:pPr>
              <w:pStyle w:val="TableText"/>
              <w:keepNext/>
              <w:jc w:val="center"/>
              <w:rPr>
                <w:bCs/>
                <w:noProof/>
                <w:szCs w:val="24"/>
              </w:rPr>
            </w:pPr>
            <w:r w:rsidRPr="00A47B29">
              <w:rPr>
                <w:noProof/>
              </w:rPr>
              <w:t>60</w:t>
            </w:r>
          </w:p>
        </w:tc>
        <w:tc>
          <w:tcPr>
            <w:tcW w:w="0" w:type="pct"/>
          </w:tcPr>
          <w:p w14:paraId="0B1BA0F2" w14:textId="77777777" w:rsidR="005A5C27" w:rsidRPr="0098349E" w:rsidRDefault="005A5C27" w:rsidP="00DC5A33">
            <w:pPr>
              <w:pStyle w:val="TableText"/>
              <w:keepNext/>
              <w:jc w:val="center"/>
              <w:rPr>
                <w:bCs/>
                <w:noProof/>
                <w:szCs w:val="24"/>
              </w:rPr>
            </w:pPr>
            <w:r w:rsidRPr="00A47B29">
              <w:rPr>
                <w:noProof/>
              </w:rPr>
              <w:t>49</w:t>
            </w:r>
          </w:p>
        </w:tc>
        <w:tc>
          <w:tcPr>
            <w:tcW w:w="0" w:type="pct"/>
          </w:tcPr>
          <w:p w14:paraId="3DFA1298" w14:textId="77777777" w:rsidR="005A5C27" w:rsidRPr="0098349E" w:rsidRDefault="005A5C27" w:rsidP="00DC5A33">
            <w:pPr>
              <w:pStyle w:val="TableText"/>
              <w:keepNext/>
              <w:jc w:val="center"/>
              <w:rPr>
                <w:bCs/>
                <w:noProof/>
                <w:szCs w:val="24"/>
              </w:rPr>
            </w:pPr>
            <w:r w:rsidRPr="00A47B29">
              <w:rPr>
                <w:noProof/>
              </w:rPr>
              <w:t>24</w:t>
            </w:r>
          </w:p>
        </w:tc>
      </w:tr>
      <w:tr w:rsidR="005A5C27" w:rsidRPr="00026EF7" w14:paraId="0EC0B989" w14:textId="77777777" w:rsidTr="00DC5A33">
        <w:trPr>
          <w:jc w:val="center"/>
        </w:trPr>
        <w:tc>
          <w:tcPr>
            <w:tcW w:w="0" w:type="pct"/>
          </w:tcPr>
          <w:p w14:paraId="78774562" w14:textId="77777777" w:rsidR="005A5C27" w:rsidRPr="00026EF7" w:rsidRDefault="005A5C27" w:rsidP="00DC5A33">
            <w:pPr>
              <w:pStyle w:val="TableText"/>
              <w:keepNext/>
              <w:jc w:val="both"/>
              <w:rPr>
                <w:noProof/>
                <w:szCs w:val="24"/>
              </w:rPr>
            </w:pPr>
            <w:r w:rsidRPr="00A47B29">
              <w:rPr>
                <w:noProof/>
              </w:rPr>
              <w:t>Total reduction</w:t>
            </w:r>
          </w:p>
        </w:tc>
        <w:tc>
          <w:tcPr>
            <w:tcW w:w="0" w:type="pct"/>
          </w:tcPr>
          <w:p w14:paraId="12ADC394" w14:textId="77777777" w:rsidR="005A5C27" w:rsidRPr="00026EF7" w:rsidRDefault="005A5C27" w:rsidP="00DC5A33">
            <w:pPr>
              <w:pStyle w:val="TableText"/>
              <w:keepNext/>
              <w:jc w:val="center"/>
              <w:rPr>
                <w:noProof/>
                <w:szCs w:val="24"/>
              </w:rPr>
            </w:pPr>
          </w:p>
        </w:tc>
        <w:tc>
          <w:tcPr>
            <w:tcW w:w="0" w:type="pct"/>
          </w:tcPr>
          <w:p w14:paraId="2F34CBB9" w14:textId="77777777" w:rsidR="005A5C27" w:rsidRPr="00026EF7" w:rsidRDefault="005A5C27" w:rsidP="00DC5A33">
            <w:pPr>
              <w:pStyle w:val="TableText"/>
              <w:keepNext/>
              <w:jc w:val="center"/>
              <w:rPr>
                <w:noProof/>
                <w:szCs w:val="24"/>
              </w:rPr>
            </w:pPr>
            <w:r w:rsidRPr="00A47B29">
              <w:rPr>
                <w:noProof/>
              </w:rPr>
              <w:t>10%</w:t>
            </w:r>
          </w:p>
        </w:tc>
        <w:tc>
          <w:tcPr>
            <w:tcW w:w="0" w:type="pct"/>
          </w:tcPr>
          <w:p w14:paraId="17785293" w14:textId="77777777" w:rsidR="005A5C27" w:rsidRPr="00026EF7" w:rsidRDefault="005A5C27" w:rsidP="00DC5A33">
            <w:pPr>
              <w:pStyle w:val="TableText"/>
              <w:keepNext/>
              <w:jc w:val="center"/>
              <w:rPr>
                <w:noProof/>
                <w:szCs w:val="24"/>
              </w:rPr>
            </w:pPr>
            <w:r w:rsidRPr="00A47B29">
              <w:rPr>
                <w:noProof/>
              </w:rPr>
              <w:t>20%</w:t>
            </w:r>
          </w:p>
        </w:tc>
        <w:tc>
          <w:tcPr>
            <w:tcW w:w="0" w:type="pct"/>
          </w:tcPr>
          <w:p w14:paraId="7E04871F" w14:textId="77777777" w:rsidR="005A5C27" w:rsidRPr="00026EF7" w:rsidRDefault="005A5C27" w:rsidP="00DC5A33">
            <w:pPr>
              <w:pStyle w:val="TableText"/>
              <w:keepNext/>
              <w:jc w:val="center"/>
              <w:rPr>
                <w:noProof/>
                <w:szCs w:val="24"/>
              </w:rPr>
            </w:pPr>
            <w:r w:rsidRPr="00A47B29">
              <w:rPr>
                <w:noProof/>
              </w:rPr>
              <w:t>33%</w:t>
            </w:r>
          </w:p>
        </w:tc>
      </w:tr>
    </w:tbl>
    <w:p w14:paraId="38E2E865" w14:textId="04D7C558" w:rsidR="00E23B80" w:rsidRPr="00A47B29" w:rsidRDefault="00A24D62" w:rsidP="005A5C27">
      <w:pPr>
        <w:pStyle w:val="Source"/>
        <w:rPr>
          <w:noProof/>
        </w:rPr>
      </w:pPr>
      <w:r w:rsidRPr="00F21A0D">
        <w:rPr>
          <w:noProof/>
        </w:rPr>
        <w:t xml:space="preserve">Source: </w:t>
      </w:r>
      <w:r w:rsidR="001327CC">
        <w:rPr>
          <w:noProof/>
        </w:rPr>
        <w:t>FSR Review Study</w:t>
      </w:r>
      <w:r w:rsidR="003E5C6E">
        <w:rPr>
          <w:noProof/>
        </w:rPr>
        <w:t>.</w:t>
      </w:r>
    </w:p>
    <w:p w14:paraId="6A580C95" w14:textId="3E9C0E1C" w:rsidR="00DB5F25" w:rsidRPr="006041B3" w:rsidRDefault="00F06960" w:rsidP="00DB5F25">
      <w:pPr>
        <w:rPr>
          <w:noProof/>
        </w:rPr>
      </w:pPr>
      <w:r w:rsidRPr="0055064F">
        <w:rPr>
          <w:noProof/>
        </w:rPr>
        <w:t>In</w:t>
      </w:r>
      <w:r w:rsidR="00DB5F25" w:rsidRPr="0055064F">
        <w:rPr>
          <w:noProof/>
        </w:rPr>
        <w:t xml:space="preserve"> </w:t>
      </w:r>
      <w:r w:rsidR="000610ED" w:rsidRPr="0055064F">
        <w:rPr>
          <w:noProof/>
        </w:rPr>
        <w:t>79</w:t>
      </w:r>
      <w:r w:rsidR="00DB5F25" w:rsidRPr="0055064F">
        <w:rPr>
          <w:noProof/>
        </w:rPr>
        <w:t xml:space="preserve"> cases </w:t>
      </w:r>
      <w:r w:rsidRPr="006041B3">
        <w:rPr>
          <w:noProof/>
        </w:rPr>
        <w:t>the parties made</w:t>
      </w:r>
      <w:r w:rsidR="00DB5F25" w:rsidRPr="006041B3">
        <w:rPr>
          <w:noProof/>
        </w:rPr>
        <w:t xml:space="preserve"> a waiver request</w:t>
      </w:r>
      <w:r w:rsidRPr="006041B3">
        <w:rPr>
          <w:noProof/>
        </w:rPr>
        <w:t xml:space="preserve">, which </w:t>
      </w:r>
      <w:r w:rsidR="00100FB1" w:rsidRPr="006041B3">
        <w:rPr>
          <w:noProof/>
        </w:rPr>
        <w:t>represents</w:t>
      </w:r>
      <w:r w:rsidR="00DB5F25" w:rsidRPr="006041B3">
        <w:rPr>
          <w:noProof/>
        </w:rPr>
        <w:t xml:space="preserve"> around </w:t>
      </w:r>
      <w:r w:rsidR="000610ED" w:rsidRPr="006041B3">
        <w:rPr>
          <w:noProof/>
        </w:rPr>
        <w:t>39</w:t>
      </w:r>
      <w:r w:rsidR="00DB5F25" w:rsidRPr="006041B3">
        <w:rPr>
          <w:noProof/>
        </w:rPr>
        <w:t xml:space="preserve">% of </w:t>
      </w:r>
      <w:r w:rsidRPr="006041B3">
        <w:rPr>
          <w:noProof/>
        </w:rPr>
        <w:t>all</w:t>
      </w:r>
      <w:r w:rsidR="00DB5F25" w:rsidRPr="006041B3">
        <w:rPr>
          <w:noProof/>
        </w:rPr>
        <w:t xml:space="preserve"> cases (</w:t>
      </w:r>
      <w:r w:rsidR="00DB5F25" w:rsidRPr="006041B3">
        <w:rPr>
          <w:rStyle w:val="FootnoteReference"/>
          <w:noProof/>
        </w:rPr>
        <w:footnoteReference w:id="65"/>
      </w:r>
      <w:r w:rsidR="00DB5F25" w:rsidRPr="006041B3">
        <w:rPr>
          <w:noProof/>
        </w:rPr>
        <w:t>)</w:t>
      </w:r>
      <w:r w:rsidR="00CC2C8C" w:rsidRPr="006041B3">
        <w:rPr>
          <w:i/>
          <w:noProof/>
        </w:rPr>
        <w:t xml:space="preserve">. </w:t>
      </w:r>
      <w:r w:rsidR="002125D3" w:rsidRPr="006041B3">
        <w:rPr>
          <w:b/>
          <w:bCs/>
          <w:i/>
          <w:noProof/>
        </w:rPr>
        <w:fldChar w:fldCharType="begin"/>
      </w:r>
      <w:r w:rsidR="002125D3" w:rsidRPr="006041B3">
        <w:rPr>
          <w:b/>
          <w:bCs/>
          <w:i/>
          <w:noProof/>
        </w:rPr>
        <w:instrText xml:space="preserve"> REF _Ref229994793 \h </w:instrText>
      </w:r>
      <w:r w:rsidR="00006AC7" w:rsidRPr="006041B3">
        <w:rPr>
          <w:b/>
          <w:bCs/>
          <w:i/>
          <w:noProof/>
        </w:rPr>
        <w:instrText xml:space="preserve"> \* MERGEFORMAT </w:instrText>
      </w:r>
      <w:r w:rsidR="002125D3" w:rsidRPr="006041B3">
        <w:rPr>
          <w:b/>
          <w:bCs/>
          <w:i/>
          <w:noProof/>
        </w:rPr>
      </w:r>
      <w:r w:rsidR="002125D3" w:rsidRPr="006041B3">
        <w:rPr>
          <w:b/>
          <w:bCs/>
          <w:i/>
          <w:noProof/>
        </w:rPr>
        <w:fldChar w:fldCharType="separate"/>
      </w:r>
      <w:r w:rsidR="00227418" w:rsidRPr="00370F6C">
        <w:rPr>
          <w:b/>
          <w:bCs/>
          <w:noProof/>
        </w:rPr>
        <w:t>Figure 7</w:t>
      </w:r>
      <w:r w:rsidR="002125D3" w:rsidRPr="006041B3">
        <w:rPr>
          <w:b/>
          <w:bCs/>
          <w:i/>
          <w:noProof/>
        </w:rPr>
        <w:fldChar w:fldCharType="end"/>
      </w:r>
      <w:r w:rsidR="00CC2C8C" w:rsidRPr="006041B3">
        <w:rPr>
          <w:noProof/>
        </w:rPr>
        <w:t xml:space="preserve"> provides information on broad types of waivers requested during pre-notification discussions.</w:t>
      </w:r>
      <w:r w:rsidR="00DB5F25" w:rsidRPr="006041B3">
        <w:rPr>
          <w:noProof/>
        </w:rPr>
        <w:t xml:space="preserve"> </w:t>
      </w:r>
    </w:p>
    <w:p w14:paraId="2EA12F1D" w14:textId="3D3E4F33" w:rsidR="00B0754D" w:rsidRPr="0055064F" w:rsidRDefault="00B0754D" w:rsidP="000E15D4">
      <w:pPr>
        <w:pStyle w:val="Caption"/>
        <w:rPr>
          <w:noProof/>
        </w:rPr>
      </w:pPr>
      <w:bookmarkStart w:id="88" w:name="_Ref229994793"/>
      <w:r w:rsidRPr="006041B3">
        <w:rPr>
          <w:noProof/>
        </w:rPr>
        <w:t xml:space="preserve">Figure </w:t>
      </w:r>
      <w:r w:rsidRPr="006041B3">
        <w:rPr>
          <w:noProof/>
        </w:rPr>
        <w:fldChar w:fldCharType="begin"/>
      </w:r>
      <w:r w:rsidRPr="006041B3">
        <w:rPr>
          <w:noProof/>
        </w:rPr>
        <w:instrText xml:space="preserve"> SEQ Figure \* ARABIC </w:instrText>
      </w:r>
      <w:r w:rsidRPr="006041B3">
        <w:rPr>
          <w:noProof/>
        </w:rPr>
        <w:fldChar w:fldCharType="separate"/>
      </w:r>
      <w:r w:rsidR="00227418">
        <w:rPr>
          <w:noProof/>
        </w:rPr>
        <w:t>7</w:t>
      </w:r>
      <w:r w:rsidRPr="006041B3">
        <w:rPr>
          <w:noProof/>
        </w:rPr>
        <w:fldChar w:fldCharType="end"/>
      </w:r>
      <w:bookmarkEnd w:id="88"/>
      <w:r w:rsidRPr="006041B3">
        <w:rPr>
          <w:noProof/>
        </w:rPr>
        <w:t>: Types of</w:t>
      </w:r>
      <w:r w:rsidRPr="00E7034F">
        <w:rPr>
          <w:noProof/>
        </w:rPr>
        <w:t xml:space="preserve"> waivers requested during pre-notification discussions</w:t>
      </w:r>
    </w:p>
    <w:p w14:paraId="3AA51B77" w14:textId="12F1BC1B" w:rsidR="00CC223F" w:rsidRDefault="00CC223F" w:rsidP="005A5C27">
      <w:pPr>
        <w:pStyle w:val="Source"/>
        <w:rPr>
          <w:noProof/>
          <w:lang w:val="en-IE"/>
        </w:rPr>
      </w:pPr>
      <w:r>
        <w:rPr>
          <w:noProof/>
          <w:lang w:eastAsia="en-GB"/>
        </w:rPr>
        <w:drawing>
          <wp:inline distT="0" distB="0" distL="0" distR="0" wp14:anchorId="7541A404" wp14:editId="69E42B9E">
            <wp:extent cx="6526661" cy="3028950"/>
            <wp:effectExtent l="0" t="0" r="7620" b="0"/>
            <wp:docPr id="516045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543788" cy="3036899"/>
                    </a:xfrm>
                    <a:prstGeom prst="rect">
                      <a:avLst/>
                    </a:prstGeom>
                    <a:noFill/>
                  </pic:spPr>
                </pic:pic>
              </a:graphicData>
            </a:graphic>
          </wp:inline>
        </w:drawing>
      </w:r>
    </w:p>
    <w:p w14:paraId="7C6F6108" w14:textId="179E3D16" w:rsidR="00771EEC" w:rsidRDefault="00771EEC" w:rsidP="005A5C27">
      <w:pPr>
        <w:pStyle w:val="Source"/>
        <w:rPr>
          <w:noProof/>
        </w:rPr>
      </w:pPr>
      <w:r w:rsidRPr="00DE4720">
        <w:rPr>
          <w:noProof/>
          <w:lang w:val="en-IE"/>
        </w:rPr>
        <w:t>Source: Commission services</w:t>
      </w:r>
      <w:r w:rsidR="005E12BA">
        <w:rPr>
          <w:noProof/>
          <w:lang w:val="en-IE"/>
        </w:rPr>
        <w:t>.</w:t>
      </w:r>
    </w:p>
    <w:p w14:paraId="55F37AF6" w14:textId="03D617E6" w:rsidR="00771EEC" w:rsidRPr="0055064F" w:rsidRDefault="00B0754D" w:rsidP="00E23B80">
      <w:pPr>
        <w:rPr>
          <w:noProof/>
        </w:rPr>
      </w:pPr>
      <w:r w:rsidRPr="006041B3">
        <w:rPr>
          <w:b/>
          <w:noProof/>
        </w:rPr>
        <w:fldChar w:fldCharType="begin"/>
      </w:r>
      <w:r w:rsidRPr="006041B3">
        <w:rPr>
          <w:b/>
          <w:noProof/>
        </w:rPr>
        <w:instrText xml:space="preserve"> REF _Ref229994793 \h  \* MERGEFORMAT </w:instrText>
      </w:r>
      <w:r w:rsidRPr="006041B3">
        <w:rPr>
          <w:b/>
          <w:noProof/>
        </w:rPr>
      </w:r>
      <w:r w:rsidRPr="006041B3">
        <w:rPr>
          <w:b/>
          <w:noProof/>
        </w:rPr>
        <w:fldChar w:fldCharType="separate"/>
      </w:r>
      <w:r w:rsidR="00227418" w:rsidRPr="00370F6C">
        <w:rPr>
          <w:b/>
          <w:noProof/>
        </w:rPr>
        <w:t>Figure 7</w:t>
      </w:r>
      <w:r w:rsidRPr="006041B3">
        <w:rPr>
          <w:b/>
          <w:noProof/>
        </w:rPr>
        <w:fldChar w:fldCharType="end"/>
      </w:r>
      <w:r w:rsidR="00CC2C8C" w:rsidRPr="006041B3">
        <w:rPr>
          <w:noProof/>
        </w:rPr>
        <w:t xml:space="preserve"> shows</w:t>
      </w:r>
      <w:r w:rsidR="00771EEC" w:rsidRPr="006041B3">
        <w:rPr>
          <w:noProof/>
        </w:rPr>
        <w:t xml:space="preserve"> that the most common type of waiver requested was on the disclosure of FFCs consider</w:t>
      </w:r>
      <w:r w:rsidR="00771EEC" w:rsidRPr="000952FC">
        <w:rPr>
          <w:noProof/>
        </w:rPr>
        <w:t xml:space="preserve">ed not necessary for the Commission’s analysis (27.9%), followed by </w:t>
      </w:r>
      <w:r w:rsidR="00CC2C8C">
        <w:rPr>
          <w:noProof/>
        </w:rPr>
        <w:t>information</w:t>
      </w:r>
      <w:r w:rsidR="00771EEC" w:rsidRPr="0055064F">
        <w:rPr>
          <w:noProof/>
        </w:rPr>
        <w:t xml:space="preserve"> </w:t>
      </w:r>
      <w:r w:rsidR="00096047">
        <w:rPr>
          <w:noProof/>
        </w:rPr>
        <w:t xml:space="preserve">not being readily available </w:t>
      </w:r>
      <w:r w:rsidR="00771EEC" w:rsidRPr="0055064F">
        <w:rPr>
          <w:noProof/>
        </w:rPr>
        <w:t>(21.3%</w:t>
      </w:r>
      <w:r w:rsidR="00281E26" w:rsidRPr="0055064F">
        <w:rPr>
          <w:noProof/>
        </w:rPr>
        <w:t xml:space="preserve">) </w:t>
      </w:r>
      <w:r w:rsidR="00771EEC" w:rsidRPr="0055064F">
        <w:rPr>
          <w:noProof/>
        </w:rPr>
        <w:t xml:space="preserve">and no link to the transaction, </w:t>
      </w:r>
      <w:r w:rsidR="00E06CCE">
        <w:rPr>
          <w:noProof/>
        </w:rPr>
        <w:t xml:space="preserve">and </w:t>
      </w:r>
      <w:r w:rsidR="00771EEC" w:rsidRPr="0055064F">
        <w:rPr>
          <w:noProof/>
        </w:rPr>
        <w:t>sensitive information/confidentiality waiver (</w:t>
      </w:r>
      <w:r w:rsidR="00E06CCE">
        <w:rPr>
          <w:noProof/>
        </w:rPr>
        <w:t xml:space="preserve">each accounting for </w:t>
      </w:r>
      <w:r w:rsidR="00771EEC" w:rsidRPr="0055064F">
        <w:rPr>
          <w:noProof/>
        </w:rPr>
        <w:t>9.8%).</w:t>
      </w:r>
    </w:p>
    <w:p w14:paraId="30533E75" w14:textId="7E6D4582" w:rsidR="00232F27" w:rsidRDefault="00CC58D4" w:rsidP="00AA7FF1">
      <w:pPr>
        <w:pStyle w:val="Heading4"/>
        <w:rPr>
          <w:noProof/>
        </w:rPr>
      </w:pPr>
      <w:bookmarkStart w:id="89" w:name="_Ref227314963"/>
      <w:bookmarkStart w:id="90" w:name="_Toc234227871"/>
      <w:r>
        <w:rPr>
          <w:noProof/>
        </w:rPr>
        <w:t xml:space="preserve">Feedback </w:t>
      </w:r>
      <w:r w:rsidRPr="00EA4DDE">
        <w:rPr>
          <w:noProof/>
        </w:rPr>
        <w:t>from</w:t>
      </w:r>
      <w:r>
        <w:rPr>
          <w:noProof/>
        </w:rPr>
        <w:t xml:space="preserve"> stakeholders</w:t>
      </w:r>
      <w:bookmarkEnd w:id="89"/>
      <w:bookmarkEnd w:id="90"/>
      <w:r w:rsidR="004329DA">
        <w:rPr>
          <w:noProof/>
        </w:rPr>
        <w:t xml:space="preserve"> </w:t>
      </w:r>
    </w:p>
    <w:p w14:paraId="26D19748" w14:textId="6A093F63" w:rsidR="003C293B" w:rsidRPr="00424FFA" w:rsidRDefault="003C293B" w:rsidP="004A1922">
      <w:pPr>
        <w:rPr>
          <w:noProof/>
        </w:rPr>
      </w:pPr>
      <w:bookmarkStart w:id="91" w:name="_Hlk225521862"/>
      <w:r w:rsidRPr="00424FFA">
        <w:rPr>
          <w:noProof/>
        </w:rPr>
        <w:t xml:space="preserve">Stakeholders generally recognise the added value of the notification system for concentrations in enabling the Commission to address potentially distortive foreign subsidies in the context of </w:t>
      </w:r>
      <w:r w:rsidR="001327CC">
        <w:rPr>
          <w:noProof/>
        </w:rPr>
        <w:t>concentrations</w:t>
      </w:r>
      <w:r w:rsidRPr="00424FFA">
        <w:rPr>
          <w:noProof/>
        </w:rPr>
        <w:t xml:space="preserve">. At the same time, respondents </w:t>
      </w:r>
      <w:r w:rsidR="00D17275" w:rsidRPr="00424FFA">
        <w:rPr>
          <w:noProof/>
        </w:rPr>
        <w:t>emphasise</w:t>
      </w:r>
      <w:r w:rsidRPr="00424FFA">
        <w:rPr>
          <w:noProof/>
        </w:rPr>
        <w:t xml:space="preserve"> that the </w:t>
      </w:r>
      <w:r w:rsidR="00641D6D" w:rsidRPr="00424FFA">
        <w:rPr>
          <w:noProof/>
        </w:rPr>
        <w:t>current notification reporting</w:t>
      </w:r>
      <w:r w:rsidRPr="00424FFA">
        <w:rPr>
          <w:noProof/>
        </w:rPr>
        <w:t xml:space="preserve"> </w:t>
      </w:r>
      <w:r w:rsidR="00D17275" w:rsidRPr="00424FFA">
        <w:rPr>
          <w:noProof/>
        </w:rPr>
        <w:t>generate</w:t>
      </w:r>
      <w:r w:rsidR="005F0208">
        <w:rPr>
          <w:noProof/>
        </w:rPr>
        <w:t>s</w:t>
      </w:r>
      <w:r w:rsidR="00D17275" w:rsidRPr="00424FFA">
        <w:rPr>
          <w:noProof/>
        </w:rPr>
        <w:t xml:space="preserve"> administrative burden for economic operators that </w:t>
      </w:r>
      <w:r w:rsidR="00641D6D" w:rsidRPr="00424FFA">
        <w:rPr>
          <w:noProof/>
        </w:rPr>
        <w:t xml:space="preserve">is </w:t>
      </w:r>
      <w:r w:rsidR="008D7B43">
        <w:rPr>
          <w:noProof/>
        </w:rPr>
        <w:t xml:space="preserve">partly </w:t>
      </w:r>
      <w:r w:rsidR="00641D6D" w:rsidRPr="00424FFA">
        <w:rPr>
          <w:noProof/>
        </w:rPr>
        <w:t xml:space="preserve">perceived as </w:t>
      </w:r>
      <w:r w:rsidR="00D17275" w:rsidRPr="00424FFA">
        <w:rPr>
          <w:noProof/>
        </w:rPr>
        <w:t xml:space="preserve">disproportionate </w:t>
      </w:r>
      <w:r w:rsidR="00096047">
        <w:rPr>
          <w:noProof/>
        </w:rPr>
        <w:t>to</w:t>
      </w:r>
      <w:r w:rsidR="00D17275" w:rsidRPr="00424FFA">
        <w:rPr>
          <w:noProof/>
        </w:rPr>
        <w:t xml:space="preserve"> the risk of distortion identified in the internal market</w:t>
      </w:r>
      <w:r w:rsidR="00677002">
        <w:rPr>
          <w:noProof/>
        </w:rPr>
        <w:t xml:space="preserve"> </w:t>
      </w:r>
      <w:r w:rsidR="00677002" w:rsidRPr="009C6D3E">
        <w:rPr>
          <w:noProof/>
        </w:rPr>
        <w:t>at the time of the survey responses</w:t>
      </w:r>
      <w:r w:rsidR="00D17275" w:rsidRPr="00424FFA">
        <w:rPr>
          <w:noProof/>
        </w:rPr>
        <w:t>.</w:t>
      </w:r>
    </w:p>
    <w:bookmarkEnd w:id="91"/>
    <w:p w14:paraId="2E78E504" w14:textId="150BAD96" w:rsidR="003C293B" w:rsidRPr="00A47B29" w:rsidRDefault="003C293B" w:rsidP="006041B3">
      <w:pPr>
        <w:pStyle w:val="ListParagraph"/>
        <w:keepNext/>
        <w:numPr>
          <w:ilvl w:val="0"/>
          <w:numId w:val="168"/>
        </w:numPr>
        <w:ind w:left="714" w:hanging="357"/>
        <w:rPr>
          <w:i/>
          <w:noProof/>
        </w:rPr>
      </w:pPr>
      <w:r w:rsidRPr="00071EBA">
        <w:rPr>
          <w:i/>
          <w:iCs/>
          <w:noProof/>
        </w:rPr>
        <w:t>Positive aspects identified by stakeholders</w:t>
      </w:r>
    </w:p>
    <w:p w14:paraId="6BA4911C" w14:textId="31FB8CB1" w:rsidR="00185F59" w:rsidRDefault="00145CD8" w:rsidP="004A1922">
      <w:pPr>
        <w:rPr>
          <w:noProof/>
        </w:rPr>
      </w:pPr>
      <w:r>
        <w:rPr>
          <w:noProof/>
        </w:rPr>
        <w:t xml:space="preserve">In the context of </w:t>
      </w:r>
      <w:r w:rsidR="0049349D">
        <w:rPr>
          <w:noProof/>
        </w:rPr>
        <w:t>the Practitioners’ Survey</w:t>
      </w:r>
      <w:r>
        <w:rPr>
          <w:noProof/>
        </w:rPr>
        <w:t>, a</w:t>
      </w:r>
      <w:r w:rsidR="003C293B" w:rsidRPr="00026EF7">
        <w:rPr>
          <w:noProof/>
        </w:rPr>
        <w:t xml:space="preserve"> broad range of </w:t>
      </w:r>
      <w:r>
        <w:rPr>
          <w:noProof/>
        </w:rPr>
        <w:t>stakeholder</w:t>
      </w:r>
      <w:r w:rsidRPr="00026EF7">
        <w:rPr>
          <w:noProof/>
        </w:rPr>
        <w:t>s</w:t>
      </w:r>
      <w:r w:rsidR="003C293B" w:rsidRPr="00026EF7">
        <w:rPr>
          <w:noProof/>
        </w:rPr>
        <w:t xml:space="preserve"> express positive views on the functioning of the notification procedure in practice, in particular as regards the conduct of pre-notification contacts</w:t>
      </w:r>
      <w:r w:rsidR="0049349D">
        <w:rPr>
          <w:noProof/>
        </w:rPr>
        <w:t xml:space="preserve">, with 46% of </w:t>
      </w:r>
      <w:r w:rsidR="00183EC3">
        <w:rPr>
          <w:noProof/>
        </w:rPr>
        <w:t xml:space="preserve">the 37 </w:t>
      </w:r>
      <w:r w:rsidR="0049349D">
        <w:rPr>
          <w:noProof/>
        </w:rPr>
        <w:t xml:space="preserve">respondents finding pre-notification contacts helpful compared to 24% that found </w:t>
      </w:r>
      <w:r w:rsidR="005E12BA">
        <w:rPr>
          <w:noProof/>
        </w:rPr>
        <w:t>them</w:t>
      </w:r>
      <w:r w:rsidR="0049349D">
        <w:rPr>
          <w:noProof/>
        </w:rPr>
        <w:t xml:space="preserve"> unhelpful</w:t>
      </w:r>
      <w:r w:rsidR="003C293B" w:rsidRPr="00026EF7">
        <w:rPr>
          <w:noProof/>
        </w:rPr>
        <w:t xml:space="preserve">. Stakeholders consistently highlight the accessibility and responsiveness of Commission case teams, as well as the usefulness of pre-notification discussions in clarifying the scope of reportable </w:t>
      </w:r>
      <w:r w:rsidR="00FC34F0">
        <w:rPr>
          <w:noProof/>
        </w:rPr>
        <w:t>FFCs</w:t>
      </w:r>
      <w:r w:rsidR="003C293B" w:rsidRPr="00424FFA">
        <w:rPr>
          <w:noProof/>
        </w:rPr>
        <w:t xml:space="preserve"> and the level of detail expected in the </w:t>
      </w:r>
      <w:r w:rsidR="00022C44" w:rsidRPr="00424FFA">
        <w:rPr>
          <w:noProof/>
        </w:rPr>
        <w:t>notification</w:t>
      </w:r>
      <w:r w:rsidR="003C293B" w:rsidRPr="00424FFA">
        <w:rPr>
          <w:noProof/>
        </w:rPr>
        <w:t xml:space="preserve">. Respondents also </w:t>
      </w:r>
      <w:r w:rsidR="00096047">
        <w:rPr>
          <w:noProof/>
        </w:rPr>
        <w:t xml:space="preserve">approved </w:t>
      </w:r>
      <w:r w:rsidR="003C293B" w:rsidRPr="00424FFA">
        <w:rPr>
          <w:noProof/>
        </w:rPr>
        <w:t xml:space="preserve">that the statutory deadline of 25 working days for the preliminary review phase </w:t>
      </w:r>
      <w:r w:rsidR="00536FCB">
        <w:rPr>
          <w:noProof/>
        </w:rPr>
        <w:t>which allows</w:t>
      </w:r>
      <w:r w:rsidR="003C293B" w:rsidRPr="00026EF7">
        <w:rPr>
          <w:noProof/>
        </w:rPr>
        <w:t xml:space="preserve"> a degree of predictability once a complete notification has been submitted.</w:t>
      </w:r>
      <w:r w:rsidR="003C293B" w:rsidRPr="00424FFA">
        <w:rPr>
          <w:noProof/>
        </w:rPr>
        <w:t xml:space="preserve"> </w:t>
      </w:r>
      <w:r w:rsidR="008D7FD9" w:rsidRPr="00424FFA">
        <w:rPr>
          <w:noProof/>
        </w:rPr>
        <w:t>Overall, communication with the Commission</w:t>
      </w:r>
      <w:r w:rsidR="008D7FD9">
        <w:rPr>
          <w:noProof/>
        </w:rPr>
        <w:t xml:space="preserve"> </w:t>
      </w:r>
      <w:r w:rsidR="00185F59">
        <w:rPr>
          <w:noProof/>
        </w:rPr>
        <w:t>services</w:t>
      </w:r>
      <w:r w:rsidR="008D7FD9" w:rsidRPr="00424FFA">
        <w:rPr>
          <w:noProof/>
        </w:rPr>
        <w:t xml:space="preserve"> was viewed positively</w:t>
      </w:r>
      <w:r w:rsidR="000F3ADF">
        <w:rPr>
          <w:noProof/>
        </w:rPr>
        <w:t xml:space="preserve"> </w:t>
      </w:r>
      <w:r w:rsidR="008D7FD9" w:rsidRPr="00424FFA">
        <w:rPr>
          <w:noProof/>
        </w:rPr>
        <w:t xml:space="preserve">in engagement with the </w:t>
      </w:r>
      <w:r w:rsidR="00565173">
        <w:rPr>
          <w:noProof/>
        </w:rPr>
        <w:t>Commis</w:t>
      </w:r>
      <w:r w:rsidR="00DF3638">
        <w:rPr>
          <w:noProof/>
        </w:rPr>
        <w:t>s</w:t>
      </w:r>
      <w:r w:rsidR="00565173">
        <w:rPr>
          <w:noProof/>
        </w:rPr>
        <w:t xml:space="preserve">ion </w:t>
      </w:r>
      <w:r w:rsidR="007D30DF" w:rsidRPr="00424FFA">
        <w:rPr>
          <w:noProof/>
        </w:rPr>
        <w:t>case team</w:t>
      </w:r>
      <w:r w:rsidR="009441A4">
        <w:rPr>
          <w:noProof/>
        </w:rPr>
        <w:t>s</w:t>
      </w:r>
      <w:r w:rsidR="007D30DF" w:rsidRPr="00424FFA">
        <w:rPr>
          <w:noProof/>
        </w:rPr>
        <w:t xml:space="preserve"> </w:t>
      </w:r>
      <w:r w:rsidR="008D7FD9" w:rsidRPr="00424FFA">
        <w:rPr>
          <w:noProof/>
        </w:rPr>
        <w:t>and the Commission</w:t>
      </w:r>
      <w:r w:rsidR="008D7FD9" w:rsidRPr="005F1145">
        <w:rPr>
          <w:noProof/>
        </w:rPr>
        <w:t>’</w:t>
      </w:r>
      <w:r w:rsidR="008D7FD9" w:rsidRPr="00424FFA">
        <w:rPr>
          <w:noProof/>
        </w:rPr>
        <w:t>s responsiveness. Feedback on the clarity of the Commission</w:t>
      </w:r>
      <w:r w:rsidR="005E12BA">
        <w:rPr>
          <w:noProof/>
        </w:rPr>
        <w:t xml:space="preserve"> services</w:t>
      </w:r>
      <w:r w:rsidR="008D7FD9" w:rsidRPr="00424FFA">
        <w:rPr>
          <w:noProof/>
        </w:rPr>
        <w:t xml:space="preserve">’ </w:t>
      </w:r>
      <w:r w:rsidR="005E12BA">
        <w:rPr>
          <w:noProof/>
        </w:rPr>
        <w:t>guidance</w:t>
      </w:r>
      <w:r w:rsidR="005E12BA" w:rsidRPr="00424FFA">
        <w:rPr>
          <w:noProof/>
        </w:rPr>
        <w:t xml:space="preserve"> </w:t>
      </w:r>
      <w:r w:rsidR="008D7FD9" w:rsidRPr="00424FFA">
        <w:rPr>
          <w:noProof/>
        </w:rPr>
        <w:t>during the notification process was also positive.</w:t>
      </w:r>
      <w:r w:rsidR="008D7FD9" w:rsidRPr="005F1145">
        <w:rPr>
          <w:noProof/>
        </w:rPr>
        <w:t xml:space="preserve"> </w:t>
      </w:r>
    </w:p>
    <w:p w14:paraId="3AED0475" w14:textId="169970AA" w:rsidR="008D7FD9" w:rsidRPr="00424FFA" w:rsidRDefault="008D7FD9" w:rsidP="004A1922">
      <w:pPr>
        <w:rPr>
          <w:noProof/>
          <w:lang w:val="en-IE"/>
        </w:rPr>
      </w:pPr>
      <w:r w:rsidRPr="005F1145">
        <w:rPr>
          <w:noProof/>
          <w:lang w:val="en-IE"/>
        </w:rPr>
        <w:t xml:space="preserve">Regarding the notification thresholds, </w:t>
      </w:r>
      <w:r w:rsidRPr="005F1145">
        <w:rPr>
          <w:noProof/>
        </w:rPr>
        <w:t xml:space="preserve">the </w:t>
      </w:r>
      <w:r w:rsidR="00DE2B3C">
        <w:rPr>
          <w:noProof/>
        </w:rPr>
        <w:t xml:space="preserve">notification </w:t>
      </w:r>
      <w:r w:rsidRPr="005F1145">
        <w:rPr>
          <w:noProof/>
        </w:rPr>
        <w:t>threshold</w:t>
      </w:r>
      <w:r w:rsidR="00DE2B3C">
        <w:rPr>
          <w:noProof/>
        </w:rPr>
        <w:t xml:space="preserve"> based on EU turnover,</w:t>
      </w:r>
      <w:r w:rsidRPr="005F1145">
        <w:rPr>
          <w:noProof/>
        </w:rPr>
        <w:t xml:space="preserve"> </w:t>
      </w:r>
      <w:r w:rsidR="00A12E36">
        <w:rPr>
          <w:noProof/>
        </w:rPr>
        <w:t xml:space="preserve">prescribed by </w:t>
      </w:r>
      <w:r w:rsidR="005E12BA">
        <w:rPr>
          <w:noProof/>
        </w:rPr>
        <w:t>Article </w:t>
      </w:r>
      <w:r w:rsidR="00A12E36">
        <w:rPr>
          <w:noProof/>
        </w:rPr>
        <w:t>20(3)(a) FSR</w:t>
      </w:r>
      <w:r w:rsidR="00DE2B3C">
        <w:rPr>
          <w:noProof/>
        </w:rPr>
        <w:t>,</w:t>
      </w:r>
      <w:r w:rsidRPr="005F1145">
        <w:rPr>
          <w:noProof/>
        </w:rPr>
        <w:t xml:space="preserve"> was largely viewed positively</w:t>
      </w:r>
      <w:r w:rsidR="00D655B8" w:rsidRPr="00D655B8">
        <w:rPr>
          <w:noProof/>
        </w:rPr>
        <w:t> (</w:t>
      </w:r>
      <w:r w:rsidR="00D655B8">
        <w:rPr>
          <w:rStyle w:val="FootnoteReference"/>
          <w:noProof/>
        </w:rPr>
        <w:footnoteReference w:id="66"/>
      </w:r>
      <w:r w:rsidR="00D655B8">
        <w:rPr>
          <w:noProof/>
        </w:rPr>
        <w:t>)</w:t>
      </w:r>
      <w:r w:rsidR="006971DF">
        <w:rPr>
          <w:noProof/>
        </w:rPr>
        <w:t>.</w:t>
      </w:r>
      <w:r w:rsidRPr="005F1145">
        <w:rPr>
          <w:noProof/>
        </w:rPr>
        <w:t xml:space="preserve"> An overwhelming majority </w:t>
      </w:r>
      <w:r w:rsidR="00E06CCE">
        <w:rPr>
          <w:noProof/>
        </w:rPr>
        <w:t>(</w:t>
      </w:r>
      <w:r w:rsidR="00183EC3" w:rsidRPr="00183EC3">
        <w:rPr>
          <w:noProof/>
        </w:rPr>
        <w:t>95%</w:t>
      </w:r>
      <w:r w:rsidR="00183EC3">
        <w:rPr>
          <w:noProof/>
        </w:rPr>
        <w:t xml:space="preserve"> out</w:t>
      </w:r>
      <w:r w:rsidR="00183EC3" w:rsidRPr="00183EC3">
        <w:rPr>
          <w:noProof/>
        </w:rPr>
        <w:t xml:space="preserve"> of the 37 respondents to the Practitioners’ Survey</w:t>
      </w:r>
      <w:r w:rsidR="00E06CCE">
        <w:rPr>
          <w:noProof/>
        </w:rPr>
        <w:t>)</w:t>
      </w:r>
      <w:r w:rsidRPr="005F1145">
        <w:rPr>
          <w:noProof/>
        </w:rPr>
        <w:t xml:space="preserve"> found it clear and easy to apply, and </w:t>
      </w:r>
      <w:r w:rsidR="00183EC3">
        <w:rPr>
          <w:noProof/>
        </w:rPr>
        <w:t>47% of the respondents</w:t>
      </w:r>
      <w:r w:rsidRPr="005F1145">
        <w:rPr>
          <w:noProof/>
        </w:rPr>
        <w:t xml:space="preserve"> viewed turnover as an appropriate proxy for prioritising cases, suggesting the threshold is </w:t>
      </w:r>
      <w:r w:rsidR="00E06CCE">
        <w:rPr>
          <w:noProof/>
        </w:rPr>
        <w:t xml:space="preserve">a </w:t>
      </w:r>
      <w:r w:rsidRPr="005F1145">
        <w:rPr>
          <w:noProof/>
        </w:rPr>
        <w:t>relevant.</w:t>
      </w:r>
    </w:p>
    <w:p w14:paraId="651F74D2" w14:textId="2FACD56B" w:rsidR="003C293B" w:rsidRPr="00A47B29" w:rsidRDefault="003C293B" w:rsidP="006041B3">
      <w:pPr>
        <w:pStyle w:val="ListParagraph"/>
        <w:keepNext/>
        <w:numPr>
          <w:ilvl w:val="0"/>
          <w:numId w:val="168"/>
        </w:numPr>
        <w:ind w:left="714" w:hanging="357"/>
        <w:rPr>
          <w:i/>
          <w:noProof/>
        </w:rPr>
      </w:pPr>
      <w:r w:rsidRPr="00071EBA">
        <w:rPr>
          <w:i/>
          <w:iCs/>
          <w:noProof/>
        </w:rPr>
        <w:t>Challenges raised by stakeholders</w:t>
      </w:r>
    </w:p>
    <w:p w14:paraId="2C9888C7" w14:textId="079BC637" w:rsidR="00AF5C5E" w:rsidRPr="00424FFA" w:rsidRDefault="00022C44" w:rsidP="004A1922">
      <w:pPr>
        <w:rPr>
          <w:noProof/>
        </w:rPr>
      </w:pPr>
      <w:r w:rsidRPr="00424FFA">
        <w:rPr>
          <w:noProof/>
        </w:rPr>
        <w:t>A</w:t>
      </w:r>
      <w:r w:rsidR="003C293B" w:rsidRPr="00424FFA">
        <w:rPr>
          <w:noProof/>
        </w:rPr>
        <w:t xml:space="preserve"> significant number of respondents</w:t>
      </w:r>
      <w:r w:rsidR="009D2C8A">
        <w:rPr>
          <w:noProof/>
        </w:rPr>
        <w:t xml:space="preserve"> to the </w:t>
      </w:r>
      <w:r w:rsidR="009D2C8A" w:rsidRPr="009D2C8A">
        <w:rPr>
          <w:noProof/>
        </w:rPr>
        <w:t>Stakeholders’ Consultations</w:t>
      </w:r>
      <w:r w:rsidR="003C293B" w:rsidRPr="00424FFA">
        <w:rPr>
          <w:noProof/>
        </w:rPr>
        <w:t xml:space="preserve"> </w:t>
      </w:r>
      <w:r w:rsidRPr="00424FFA">
        <w:rPr>
          <w:noProof/>
        </w:rPr>
        <w:t>identify</w:t>
      </w:r>
      <w:r w:rsidR="003C293B" w:rsidRPr="00424FFA">
        <w:rPr>
          <w:noProof/>
        </w:rPr>
        <w:t xml:space="preserve"> challenges associated with the notification obligation for concentrations. A recurrent concern relates to the identification, collection and </w:t>
      </w:r>
      <w:r w:rsidRPr="00424FFA">
        <w:rPr>
          <w:noProof/>
        </w:rPr>
        <w:t>reporting</w:t>
      </w:r>
      <w:r w:rsidR="003C293B" w:rsidRPr="00424FFA">
        <w:rPr>
          <w:noProof/>
        </w:rPr>
        <w:t xml:space="preserve"> of FFCs. </w:t>
      </w:r>
      <w:r w:rsidR="000E360C">
        <w:rPr>
          <w:noProof/>
          <w:lang w:val="en-US"/>
        </w:rPr>
        <w:t xml:space="preserve">More concretely, half of the respondents to the public consultation, primarily businesses and business associations, consider that the reporting of foreign financial contributions is too broad. </w:t>
      </w:r>
      <w:r w:rsidR="003C293B" w:rsidRPr="00424FFA">
        <w:rPr>
          <w:noProof/>
        </w:rPr>
        <w:t xml:space="preserve">Respondents report that the breadth of the concept </w:t>
      </w:r>
      <w:r w:rsidRPr="00424FFA">
        <w:rPr>
          <w:noProof/>
        </w:rPr>
        <w:t>and reporting obligation for</w:t>
      </w:r>
      <w:r w:rsidR="003C293B" w:rsidRPr="00424FFA">
        <w:rPr>
          <w:noProof/>
        </w:rPr>
        <w:t xml:space="preserve"> FFC</w:t>
      </w:r>
      <w:r w:rsidRPr="00424FFA">
        <w:rPr>
          <w:noProof/>
        </w:rPr>
        <w:t>s</w:t>
      </w:r>
      <w:r w:rsidR="003C293B" w:rsidRPr="00424FFA">
        <w:rPr>
          <w:noProof/>
        </w:rPr>
        <w:t xml:space="preserve"> often </w:t>
      </w:r>
      <w:r w:rsidRPr="00424FFA">
        <w:rPr>
          <w:noProof/>
        </w:rPr>
        <w:t>require</w:t>
      </w:r>
      <w:r w:rsidR="003C293B" w:rsidRPr="00424FFA">
        <w:rPr>
          <w:noProof/>
        </w:rPr>
        <w:t xml:space="preserve"> internal data-gathering exercises across multiple entities, jurisdictions and time periods. </w:t>
      </w:r>
      <w:r w:rsidR="00AF5C5E">
        <w:rPr>
          <w:noProof/>
        </w:rPr>
        <w:t>The f</w:t>
      </w:r>
      <w:r w:rsidR="00AF5C5E">
        <w:rPr>
          <w:noProof/>
          <w:lang w:val="en-US"/>
        </w:rPr>
        <w:t xml:space="preserve">eedback received indicates that the scope of the reporting obligation is perceived as cumbersome because the </w:t>
      </w:r>
      <w:r w:rsidR="00FB74EE">
        <w:rPr>
          <w:noProof/>
          <w:lang w:val="en-US"/>
        </w:rPr>
        <w:t xml:space="preserve">concept </w:t>
      </w:r>
      <w:r w:rsidR="00AF5C5E">
        <w:rPr>
          <w:noProof/>
          <w:lang w:val="en-US"/>
        </w:rPr>
        <w:t xml:space="preserve">of FFCs used in </w:t>
      </w:r>
      <w:r w:rsidR="005E12BA">
        <w:rPr>
          <w:noProof/>
          <w:lang w:val="en-US"/>
        </w:rPr>
        <w:t>Article </w:t>
      </w:r>
      <w:r w:rsidR="00AF5C5E">
        <w:rPr>
          <w:noProof/>
          <w:lang w:val="en-US"/>
        </w:rPr>
        <w:t xml:space="preserve">3 FSR is based on an open-ended list, with </w:t>
      </w:r>
      <w:r w:rsidR="000118D7">
        <w:rPr>
          <w:noProof/>
          <w:lang w:val="en-US"/>
        </w:rPr>
        <w:t>a few exhaustive</w:t>
      </w:r>
      <w:r w:rsidR="00AF5C5E">
        <w:rPr>
          <w:noProof/>
          <w:lang w:val="en-US"/>
        </w:rPr>
        <w:t xml:space="preserve"> </w:t>
      </w:r>
      <w:r w:rsidR="00F37F77">
        <w:rPr>
          <w:noProof/>
          <w:lang w:val="en-US"/>
        </w:rPr>
        <w:t xml:space="preserve">reporting </w:t>
      </w:r>
      <w:r w:rsidR="00AF5C5E">
        <w:rPr>
          <w:noProof/>
          <w:lang w:val="en-US"/>
        </w:rPr>
        <w:t>ex</w:t>
      </w:r>
      <w:r w:rsidR="00B4096F">
        <w:rPr>
          <w:noProof/>
          <w:lang w:val="en-US"/>
        </w:rPr>
        <w:t>ce</w:t>
      </w:r>
      <w:r w:rsidR="00AF5C5E">
        <w:rPr>
          <w:noProof/>
          <w:lang w:val="en-US"/>
        </w:rPr>
        <w:t xml:space="preserve">ptions. </w:t>
      </w:r>
      <w:r w:rsidR="000118D7">
        <w:rPr>
          <w:noProof/>
          <w:lang w:val="en-US"/>
        </w:rPr>
        <w:t>T</w:t>
      </w:r>
      <w:r w:rsidR="00AF5C5E" w:rsidRPr="00AF5C5E">
        <w:rPr>
          <w:noProof/>
          <w:lang w:val="en-US"/>
        </w:rPr>
        <w:t xml:space="preserve">he feedback </w:t>
      </w:r>
      <w:r w:rsidR="000118D7">
        <w:rPr>
          <w:noProof/>
          <w:lang w:val="en-US"/>
        </w:rPr>
        <w:t xml:space="preserve">highlights in particular the difficulties with the </w:t>
      </w:r>
      <w:r w:rsidR="00AF5C5E" w:rsidRPr="00AF5C5E">
        <w:rPr>
          <w:noProof/>
          <w:lang w:val="en-US"/>
        </w:rPr>
        <w:t>FFCs in the form of contracts for the provision of goods or services or purchase of goods or services</w:t>
      </w:r>
      <w:r w:rsidR="00AF5C5E">
        <w:rPr>
          <w:noProof/>
          <w:lang w:val="en-US"/>
        </w:rPr>
        <w:t xml:space="preserve">. </w:t>
      </w:r>
      <w:r w:rsidR="00AF5C5E" w:rsidRPr="00AF5C5E">
        <w:rPr>
          <w:noProof/>
          <w:lang w:val="en-US"/>
        </w:rPr>
        <w:t>Currently, an ex</w:t>
      </w:r>
      <w:r w:rsidR="00B4096F">
        <w:rPr>
          <w:noProof/>
          <w:lang w:val="en-US"/>
        </w:rPr>
        <w:t>ce</w:t>
      </w:r>
      <w:r w:rsidR="00AF5C5E" w:rsidRPr="00AF5C5E">
        <w:rPr>
          <w:noProof/>
          <w:lang w:val="en-US"/>
        </w:rPr>
        <w:t xml:space="preserve">ption from the reporting obligation for such FFCs applies to provisions or purchases </w:t>
      </w:r>
      <w:r w:rsidR="00595ACB">
        <w:rPr>
          <w:noProof/>
          <w:lang w:val="en-US"/>
        </w:rPr>
        <w:t xml:space="preserve">made </w:t>
      </w:r>
      <w:r w:rsidR="00AF5C5E" w:rsidRPr="00AF5C5E">
        <w:rPr>
          <w:noProof/>
          <w:lang w:val="en-US"/>
        </w:rPr>
        <w:t xml:space="preserve">at market terms on the ordinary course of business, except </w:t>
      </w:r>
      <w:r w:rsidR="004B6449">
        <w:rPr>
          <w:noProof/>
          <w:lang w:val="en-US"/>
        </w:rPr>
        <w:t xml:space="preserve">for </w:t>
      </w:r>
      <w:r w:rsidR="00AF5C5E" w:rsidRPr="00AF5C5E">
        <w:rPr>
          <w:noProof/>
          <w:lang w:val="en-US"/>
        </w:rPr>
        <w:t xml:space="preserve">financial services. </w:t>
      </w:r>
      <w:r w:rsidR="00AF5C5E">
        <w:rPr>
          <w:noProof/>
          <w:lang w:val="en-US"/>
        </w:rPr>
        <w:t>Respondents point out that in order to benefit from this ex</w:t>
      </w:r>
      <w:r w:rsidR="00B4096F">
        <w:rPr>
          <w:noProof/>
          <w:lang w:val="en-US"/>
        </w:rPr>
        <w:t>ce</w:t>
      </w:r>
      <w:r w:rsidR="00AF5C5E">
        <w:rPr>
          <w:noProof/>
          <w:lang w:val="en-US"/>
        </w:rPr>
        <w:t xml:space="preserve">ption, they still need to collect information </w:t>
      </w:r>
      <w:r w:rsidR="00536FCB">
        <w:rPr>
          <w:noProof/>
          <w:lang w:val="en-US"/>
        </w:rPr>
        <w:t>to assess</w:t>
      </w:r>
      <w:r w:rsidR="00AF5C5E">
        <w:rPr>
          <w:noProof/>
          <w:lang w:val="en-US"/>
        </w:rPr>
        <w:t xml:space="preserve"> whether they are conducted on market terms.</w:t>
      </w:r>
    </w:p>
    <w:p w14:paraId="27450EE1" w14:textId="385BCB24" w:rsidR="003C293B" w:rsidRPr="00424FFA" w:rsidRDefault="003C293B" w:rsidP="004A1922">
      <w:pPr>
        <w:rPr>
          <w:noProof/>
        </w:rPr>
      </w:pPr>
      <w:r w:rsidRPr="00424FFA">
        <w:rPr>
          <w:noProof/>
        </w:rPr>
        <w:t xml:space="preserve">Stakeholders also raise concerns </w:t>
      </w:r>
      <w:r w:rsidR="002C3820">
        <w:rPr>
          <w:noProof/>
        </w:rPr>
        <w:t>about</w:t>
      </w:r>
      <w:r w:rsidR="002C3820" w:rsidRPr="00424FFA">
        <w:rPr>
          <w:noProof/>
        </w:rPr>
        <w:t xml:space="preserve"> </w:t>
      </w:r>
      <w:r w:rsidRPr="00424FFA">
        <w:rPr>
          <w:noProof/>
        </w:rPr>
        <w:t>the scope and level of detail required</w:t>
      </w:r>
      <w:r>
        <w:rPr>
          <w:noProof/>
        </w:rPr>
        <w:t xml:space="preserve"> </w:t>
      </w:r>
      <w:r w:rsidR="00424FFA">
        <w:rPr>
          <w:noProof/>
        </w:rPr>
        <w:t>by the Commission case teams</w:t>
      </w:r>
      <w:r w:rsidRPr="00424FFA">
        <w:rPr>
          <w:noProof/>
        </w:rPr>
        <w:t xml:space="preserve"> </w:t>
      </w:r>
      <w:r w:rsidR="00FC34F0">
        <w:rPr>
          <w:noProof/>
        </w:rPr>
        <w:t>in response to the first submitted</w:t>
      </w:r>
      <w:r w:rsidRPr="00424FFA">
        <w:rPr>
          <w:noProof/>
        </w:rPr>
        <w:t xml:space="preserve"> </w:t>
      </w:r>
      <w:r w:rsidR="006A11AF" w:rsidRPr="00424FFA">
        <w:rPr>
          <w:noProof/>
        </w:rPr>
        <w:t xml:space="preserve">notification forms </w:t>
      </w:r>
      <w:r w:rsidR="00FC34F0">
        <w:rPr>
          <w:noProof/>
        </w:rPr>
        <w:t>and</w:t>
      </w:r>
      <w:r w:rsidR="006A11AF" w:rsidRPr="00424FFA">
        <w:rPr>
          <w:noProof/>
        </w:rPr>
        <w:t xml:space="preserve"> </w:t>
      </w:r>
      <w:r w:rsidR="00022C44" w:rsidRPr="00424FFA">
        <w:rPr>
          <w:noProof/>
        </w:rPr>
        <w:t>additional</w:t>
      </w:r>
      <w:r w:rsidR="006A11AF" w:rsidRPr="00424FFA">
        <w:rPr>
          <w:noProof/>
        </w:rPr>
        <w:t xml:space="preserve"> </w:t>
      </w:r>
      <w:r w:rsidR="00022C44" w:rsidRPr="00424FFA">
        <w:rPr>
          <w:noProof/>
        </w:rPr>
        <w:t>requests for information</w:t>
      </w:r>
      <w:r w:rsidR="006A11AF" w:rsidRPr="00424FFA">
        <w:rPr>
          <w:noProof/>
        </w:rPr>
        <w:t xml:space="preserve"> during the </w:t>
      </w:r>
      <w:r w:rsidR="00F50894" w:rsidRPr="00424FFA">
        <w:rPr>
          <w:noProof/>
        </w:rPr>
        <w:t xml:space="preserve">Commission </w:t>
      </w:r>
      <w:r w:rsidR="006A11AF" w:rsidRPr="00424FFA">
        <w:rPr>
          <w:noProof/>
        </w:rPr>
        <w:t>review.</w:t>
      </w:r>
      <w:r w:rsidR="00FC220C" w:rsidRPr="00424FFA">
        <w:rPr>
          <w:noProof/>
        </w:rPr>
        <w:t xml:space="preserve"> </w:t>
      </w:r>
      <w:r w:rsidR="006A11AF" w:rsidRPr="00424FFA">
        <w:rPr>
          <w:noProof/>
        </w:rPr>
        <w:t xml:space="preserve">Finally, </w:t>
      </w:r>
      <w:r w:rsidR="00145CD8">
        <w:rPr>
          <w:noProof/>
        </w:rPr>
        <w:t>24</w:t>
      </w:r>
      <w:r w:rsidR="006A11AF" w:rsidRPr="00424FFA">
        <w:rPr>
          <w:noProof/>
        </w:rPr>
        <w:t xml:space="preserve"> respondents </w:t>
      </w:r>
      <w:r w:rsidR="00B500ED">
        <w:rPr>
          <w:noProof/>
        </w:rPr>
        <w:t xml:space="preserve">out of 54 in the public consultation </w:t>
      </w:r>
      <w:r w:rsidR="006A11AF" w:rsidRPr="00424FFA">
        <w:rPr>
          <w:noProof/>
        </w:rPr>
        <w:t xml:space="preserve">note that the concentrations subject to notification under the FSR are often also reviewed under other EU </w:t>
      </w:r>
      <w:r w:rsidR="00185F59">
        <w:rPr>
          <w:noProof/>
        </w:rPr>
        <w:t xml:space="preserve">or </w:t>
      </w:r>
      <w:r w:rsidR="006A11AF" w:rsidRPr="00424FFA">
        <w:rPr>
          <w:noProof/>
        </w:rPr>
        <w:t>national instruments</w:t>
      </w:r>
      <w:r w:rsidR="00C7551F" w:rsidRPr="00424FFA">
        <w:rPr>
          <w:noProof/>
        </w:rPr>
        <w:t>,</w:t>
      </w:r>
      <w:r w:rsidR="006A11AF" w:rsidRPr="00424FFA">
        <w:rPr>
          <w:noProof/>
        </w:rPr>
        <w:t xml:space="preserve"> in particular the EUMR and national FDI screening mechanisms. While stakeholders </w:t>
      </w:r>
      <w:r w:rsidR="00C7551F" w:rsidRPr="00424FFA">
        <w:rPr>
          <w:noProof/>
        </w:rPr>
        <w:t>acknowledge</w:t>
      </w:r>
      <w:r w:rsidR="006A11AF" w:rsidRPr="00424FFA">
        <w:rPr>
          <w:noProof/>
        </w:rPr>
        <w:t xml:space="preserve"> the distinct objectives of these </w:t>
      </w:r>
      <w:r w:rsidR="00C7551F" w:rsidRPr="00424FFA">
        <w:rPr>
          <w:noProof/>
        </w:rPr>
        <w:t>frameworks</w:t>
      </w:r>
      <w:r w:rsidR="006A11AF" w:rsidRPr="00424FFA">
        <w:rPr>
          <w:noProof/>
        </w:rPr>
        <w:t>, they underline the cumulative administrative burden associated with parallel procedures and information requests</w:t>
      </w:r>
      <w:r w:rsidR="006A11AF" w:rsidRPr="00424FFA" w:rsidDel="00F50894">
        <w:rPr>
          <w:noProof/>
        </w:rPr>
        <w:t>.</w:t>
      </w:r>
    </w:p>
    <w:p w14:paraId="762E0EB0" w14:textId="09F7B4A5" w:rsidR="007B5987" w:rsidRPr="00750DE1" w:rsidRDefault="007B5987" w:rsidP="004A1922">
      <w:pPr>
        <w:rPr>
          <w:noProof/>
          <w:lang w:val="en-IE"/>
        </w:rPr>
      </w:pPr>
      <w:r w:rsidRPr="005F1145">
        <w:rPr>
          <w:noProof/>
        </w:rPr>
        <w:t xml:space="preserve">In the </w:t>
      </w:r>
      <w:r w:rsidR="00C82F17">
        <w:rPr>
          <w:noProof/>
        </w:rPr>
        <w:t>P</w:t>
      </w:r>
      <w:r w:rsidR="002806B4" w:rsidRPr="00B43ED6">
        <w:rPr>
          <w:noProof/>
        </w:rPr>
        <w:t xml:space="preserve">ractitioners’ </w:t>
      </w:r>
      <w:r w:rsidR="002C3820">
        <w:rPr>
          <w:noProof/>
        </w:rPr>
        <w:t>S</w:t>
      </w:r>
      <w:r w:rsidRPr="00B43ED6">
        <w:rPr>
          <w:noProof/>
        </w:rPr>
        <w:t>urvey</w:t>
      </w:r>
      <w:r w:rsidRPr="005F1145">
        <w:rPr>
          <w:noProof/>
        </w:rPr>
        <w:t xml:space="preserve">, respondents indicated that the notification process imposes a </w:t>
      </w:r>
      <w:r w:rsidR="00C44E66">
        <w:rPr>
          <w:noProof/>
        </w:rPr>
        <w:t>not in</w:t>
      </w:r>
      <w:r w:rsidRPr="005F1145">
        <w:rPr>
          <w:noProof/>
        </w:rPr>
        <w:t>significant burden in terms of time and resources. As a result, companies</w:t>
      </w:r>
      <w:r w:rsidR="00706BC0">
        <w:rPr>
          <w:noProof/>
        </w:rPr>
        <w:t>,</w:t>
      </w:r>
      <w:r w:rsidRPr="005F1145">
        <w:rPr>
          <w:noProof/>
        </w:rPr>
        <w:t xml:space="preserve"> </w:t>
      </w:r>
      <w:r w:rsidR="00F91442">
        <w:rPr>
          <w:noProof/>
        </w:rPr>
        <w:t>in the vast majority of cases</w:t>
      </w:r>
      <w:r w:rsidR="00706BC0">
        <w:rPr>
          <w:noProof/>
        </w:rPr>
        <w:t>,</w:t>
      </w:r>
      <w:r w:rsidRPr="005F1145">
        <w:rPr>
          <w:noProof/>
        </w:rPr>
        <w:t xml:space="preserve"> engage external legal counsel to prepare their notifications.</w:t>
      </w:r>
      <w:r w:rsidR="00473F00">
        <w:rPr>
          <w:noProof/>
        </w:rPr>
        <w:t xml:space="preserve"> </w:t>
      </w:r>
      <w:r w:rsidR="00473F00">
        <w:rPr>
          <w:noProof/>
          <w:lang w:val="en-IE"/>
        </w:rPr>
        <w:t>The most challenging aspect identified relates to the FFC threshold both for notification and reporting purposes</w:t>
      </w:r>
      <w:r w:rsidRPr="005F1145">
        <w:rPr>
          <w:noProof/>
          <w:lang w:val="en-IE"/>
        </w:rPr>
        <w:t>. A majority of respondents noted that increasing th</w:t>
      </w:r>
      <w:r w:rsidR="0088179D">
        <w:rPr>
          <w:noProof/>
          <w:lang w:val="en-IE"/>
        </w:rPr>
        <w:t>e</w:t>
      </w:r>
      <w:r w:rsidRPr="005F1145">
        <w:rPr>
          <w:noProof/>
          <w:lang w:val="en-IE"/>
        </w:rPr>
        <w:t>s</w:t>
      </w:r>
      <w:r w:rsidR="0088179D">
        <w:rPr>
          <w:noProof/>
          <w:lang w:val="en-IE"/>
        </w:rPr>
        <w:t>e</w:t>
      </w:r>
      <w:r w:rsidRPr="005F1145">
        <w:rPr>
          <w:noProof/>
          <w:lang w:val="en-IE"/>
        </w:rPr>
        <w:t xml:space="preserve"> threshold</w:t>
      </w:r>
      <w:r w:rsidR="0088179D">
        <w:rPr>
          <w:noProof/>
          <w:lang w:val="en-IE"/>
        </w:rPr>
        <w:t>s</w:t>
      </w:r>
      <w:r w:rsidRPr="005F1145">
        <w:rPr>
          <w:noProof/>
          <w:lang w:val="en-IE"/>
        </w:rPr>
        <w:t xml:space="preserve"> would reduce the administrative burden. </w:t>
      </w:r>
      <w:r w:rsidR="00B500ED" w:rsidRPr="00B500ED">
        <w:rPr>
          <w:noProof/>
          <w:lang w:val="en-IE"/>
        </w:rPr>
        <w:t xml:space="preserve">As regards the value of the turnover threshold, 44% of the </w:t>
      </w:r>
      <w:r w:rsidR="00B500ED">
        <w:rPr>
          <w:noProof/>
          <w:lang w:val="en-IE"/>
        </w:rPr>
        <w:t xml:space="preserve">37 </w:t>
      </w:r>
      <w:r w:rsidR="00B500ED" w:rsidRPr="00B500ED">
        <w:rPr>
          <w:noProof/>
          <w:lang w:val="en-IE"/>
        </w:rPr>
        <w:t>respondents to the Practitioners’ Survey considered that raising the turnover threshold would significantly decrease the overall level of burden in the notifications of concentration, compared to 31% of the respondents who disagreed with such statement.</w:t>
      </w:r>
      <w:r w:rsidR="006106F0" w:rsidRPr="006106F0">
        <w:rPr>
          <w:noProof/>
          <w:lang w:val="en-IE"/>
        </w:rPr>
        <w:t xml:space="preserve"> </w:t>
      </w:r>
      <w:r w:rsidR="00B500ED">
        <w:rPr>
          <w:noProof/>
          <w:lang w:val="en-IE"/>
        </w:rPr>
        <w:t>In a similar manner, a</w:t>
      </w:r>
      <w:r w:rsidR="006106F0" w:rsidRPr="006106F0">
        <w:rPr>
          <w:noProof/>
          <w:lang w:val="en-IE"/>
        </w:rPr>
        <w:t xml:space="preserve"> majority of respondents (62%) stated that raising the </w:t>
      </w:r>
      <w:r w:rsidR="00B500ED">
        <w:rPr>
          <w:noProof/>
          <w:lang w:val="en-IE"/>
        </w:rPr>
        <w:t xml:space="preserve">FFC </w:t>
      </w:r>
      <w:r w:rsidR="006106F0" w:rsidRPr="006106F0">
        <w:rPr>
          <w:noProof/>
          <w:lang w:val="en-IE"/>
        </w:rPr>
        <w:t>threshold</w:t>
      </w:r>
      <w:r w:rsidR="00E06CCE">
        <w:rPr>
          <w:noProof/>
          <w:lang w:val="en-IE"/>
        </w:rPr>
        <w:t>s</w:t>
      </w:r>
      <w:r w:rsidR="006106F0" w:rsidRPr="006106F0">
        <w:rPr>
          <w:noProof/>
          <w:lang w:val="en-IE"/>
        </w:rPr>
        <w:t xml:space="preserve"> would significantly reduce the overall burden created. </w:t>
      </w:r>
      <w:r w:rsidR="004E06F8">
        <w:rPr>
          <w:noProof/>
          <w:lang w:val="en-IE"/>
        </w:rPr>
        <w:t>In particular</w:t>
      </w:r>
      <w:r w:rsidR="004E06F8" w:rsidRPr="005F1145">
        <w:rPr>
          <w:noProof/>
          <w:lang w:val="en-IE"/>
        </w:rPr>
        <w:t xml:space="preserve">, </w:t>
      </w:r>
      <w:r w:rsidR="004E06F8">
        <w:rPr>
          <w:noProof/>
          <w:lang w:val="en-IE"/>
        </w:rPr>
        <w:t xml:space="preserve">with respect to </w:t>
      </w:r>
      <w:r w:rsidR="004E06F8" w:rsidRPr="005F1145">
        <w:rPr>
          <w:noProof/>
          <w:lang w:val="en-IE"/>
        </w:rPr>
        <w:t xml:space="preserve">the reporting thresholds set out in the </w:t>
      </w:r>
      <w:r w:rsidR="004E06F8">
        <w:rPr>
          <w:noProof/>
          <w:lang w:val="en-IE"/>
        </w:rPr>
        <w:t>FSIR</w:t>
      </w:r>
      <w:r w:rsidR="00C44E66">
        <w:rPr>
          <w:noProof/>
          <w:lang w:val="en-IE"/>
        </w:rPr>
        <w:t xml:space="preserve"> </w:t>
      </w:r>
      <w:r w:rsidR="005E12BA">
        <w:rPr>
          <w:noProof/>
          <w:lang w:val="en-IE"/>
        </w:rPr>
        <w:t>–</w:t>
      </w:r>
      <w:r w:rsidR="00C44E66">
        <w:rPr>
          <w:noProof/>
          <w:lang w:val="en-IE"/>
        </w:rPr>
        <w:t xml:space="preserve"> </w:t>
      </w:r>
      <w:r w:rsidR="005E12BA">
        <w:rPr>
          <w:noProof/>
          <w:lang w:val="en-IE"/>
        </w:rPr>
        <w:t>E</w:t>
      </w:r>
      <w:r w:rsidR="004E06F8" w:rsidRPr="005F1145">
        <w:rPr>
          <w:noProof/>
          <w:lang w:val="en-IE"/>
        </w:rPr>
        <w:t>UR</w:t>
      </w:r>
      <w:r w:rsidR="005E12BA">
        <w:rPr>
          <w:noProof/>
          <w:lang w:val="en-IE"/>
        </w:rPr>
        <w:t> </w:t>
      </w:r>
      <w:r w:rsidR="004E06F8" w:rsidRPr="005F1145">
        <w:rPr>
          <w:noProof/>
          <w:lang w:val="en-IE"/>
        </w:rPr>
        <w:t xml:space="preserve">45 million per third country and </w:t>
      </w:r>
      <w:r w:rsidR="005E12BA" w:rsidRPr="005F1145">
        <w:rPr>
          <w:noProof/>
          <w:lang w:val="en-IE"/>
        </w:rPr>
        <w:t>EUR</w:t>
      </w:r>
      <w:r w:rsidR="005E12BA">
        <w:rPr>
          <w:noProof/>
          <w:lang w:val="en-IE"/>
        </w:rPr>
        <w:t> </w:t>
      </w:r>
      <w:r w:rsidR="005E12BA" w:rsidRPr="005F1145">
        <w:rPr>
          <w:noProof/>
          <w:lang w:val="en-IE"/>
        </w:rPr>
        <w:t>1</w:t>
      </w:r>
      <w:r w:rsidR="005E12BA">
        <w:rPr>
          <w:noProof/>
          <w:lang w:val="en-IE"/>
        </w:rPr>
        <w:t> </w:t>
      </w:r>
      <w:r w:rsidR="004E06F8" w:rsidRPr="005F1145">
        <w:rPr>
          <w:noProof/>
          <w:lang w:val="en-IE"/>
        </w:rPr>
        <w:t>million per individual FFC</w:t>
      </w:r>
      <w:r w:rsidR="00C44E66">
        <w:rPr>
          <w:noProof/>
          <w:lang w:val="en-IE"/>
        </w:rPr>
        <w:t xml:space="preserve"> </w:t>
      </w:r>
      <w:r w:rsidR="005E12BA">
        <w:rPr>
          <w:noProof/>
          <w:lang w:val="en-IE"/>
        </w:rPr>
        <w:t>–</w:t>
      </w:r>
      <w:r w:rsidR="00C44E66">
        <w:rPr>
          <w:noProof/>
          <w:lang w:val="en-IE"/>
        </w:rPr>
        <w:t xml:space="preserve"> most </w:t>
      </w:r>
      <w:r w:rsidR="004E06F8" w:rsidRPr="005F1145">
        <w:rPr>
          <w:noProof/>
          <w:lang w:val="en-IE"/>
        </w:rPr>
        <w:t xml:space="preserve">respondents considered both thresholds to be too low, with particular concern expressed about the </w:t>
      </w:r>
      <w:r w:rsidR="005E12BA" w:rsidRPr="005F1145">
        <w:rPr>
          <w:noProof/>
          <w:lang w:val="en-IE"/>
        </w:rPr>
        <w:t>EUR</w:t>
      </w:r>
      <w:r w:rsidR="005E12BA">
        <w:rPr>
          <w:noProof/>
          <w:lang w:val="en-IE"/>
        </w:rPr>
        <w:t> </w:t>
      </w:r>
      <w:r w:rsidR="004E06F8" w:rsidRPr="005F1145">
        <w:rPr>
          <w:noProof/>
          <w:lang w:val="en-IE"/>
        </w:rPr>
        <w:t>1 million threshold</w:t>
      </w:r>
      <w:r w:rsidRPr="005F1145" w:rsidDel="007D3298">
        <w:rPr>
          <w:noProof/>
          <w:lang w:val="en-IE"/>
        </w:rPr>
        <w:t>.</w:t>
      </w:r>
    </w:p>
    <w:p w14:paraId="4DEF57C6" w14:textId="47205FAD" w:rsidR="00C87A76" w:rsidRPr="00EA4DDE" w:rsidRDefault="00C87A76" w:rsidP="00AA7FF1">
      <w:pPr>
        <w:pStyle w:val="Heading4"/>
        <w:rPr>
          <w:noProof/>
          <w:lang w:val="en-IE"/>
        </w:rPr>
      </w:pPr>
      <w:bookmarkStart w:id="92" w:name="_Toc234227872"/>
      <w:r w:rsidRPr="00EA4DDE">
        <w:rPr>
          <w:noProof/>
          <w:lang w:val="en-IE"/>
        </w:rPr>
        <w:t xml:space="preserve">The FSR Review </w:t>
      </w:r>
      <w:r w:rsidR="00FC34F0" w:rsidRPr="00EA4DDE">
        <w:rPr>
          <w:noProof/>
          <w:lang w:val="en-IE"/>
        </w:rPr>
        <w:t>S</w:t>
      </w:r>
      <w:r w:rsidRPr="00EA4DDE">
        <w:rPr>
          <w:noProof/>
          <w:lang w:val="en-IE"/>
        </w:rPr>
        <w:t>tudy</w:t>
      </w:r>
      <w:bookmarkEnd w:id="92"/>
    </w:p>
    <w:p w14:paraId="57995972" w14:textId="48D4DD5F" w:rsidR="00C87A76" w:rsidRPr="00FC7BCE" w:rsidRDefault="00C87A76" w:rsidP="009B0955">
      <w:pPr>
        <w:rPr>
          <w:noProof/>
          <w:lang w:val="en-IE"/>
        </w:rPr>
      </w:pPr>
      <w:r w:rsidRPr="00FC7BCE">
        <w:rPr>
          <w:noProof/>
          <w:lang w:val="en-IE"/>
        </w:rPr>
        <w:t>This section</w:t>
      </w:r>
      <w:r w:rsidR="009B0955">
        <w:rPr>
          <w:noProof/>
          <w:lang w:val="en-IE"/>
        </w:rPr>
        <w:t xml:space="preserve"> presents the conclusions of the FSR Review Study</w:t>
      </w:r>
      <w:r w:rsidRPr="00FC7BCE">
        <w:rPr>
          <w:noProof/>
          <w:lang w:val="en-IE"/>
        </w:rPr>
        <w:t xml:space="preserve"> based on the analysis </w:t>
      </w:r>
      <w:r w:rsidR="00FC34F0">
        <w:rPr>
          <w:noProof/>
          <w:lang w:val="en-IE"/>
        </w:rPr>
        <w:t>of case practice</w:t>
      </w:r>
      <w:r w:rsidRPr="00FC7BCE">
        <w:rPr>
          <w:noProof/>
          <w:lang w:val="en-IE"/>
        </w:rPr>
        <w:t xml:space="preserve">, </w:t>
      </w:r>
      <w:r>
        <w:rPr>
          <w:noProof/>
          <w:lang w:val="en-IE"/>
        </w:rPr>
        <w:t>following the</w:t>
      </w:r>
      <w:r w:rsidRPr="00FC7BCE">
        <w:rPr>
          <w:noProof/>
          <w:lang w:val="en-IE"/>
        </w:rPr>
        <w:t xml:space="preserve"> methodology described in </w:t>
      </w:r>
      <w:r w:rsidRPr="00424FFA">
        <w:rPr>
          <w:noProof/>
          <w:lang w:val="en-IE"/>
        </w:rPr>
        <w:t xml:space="preserve">Section </w:t>
      </w:r>
      <w:r w:rsidR="00424FFA" w:rsidRPr="0038793C">
        <w:rPr>
          <w:noProof/>
        </w:rPr>
        <w:fldChar w:fldCharType="begin"/>
      </w:r>
      <w:r w:rsidR="00424FFA">
        <w:rPr>
          <w:noProof/>
          <w:lang w:val="en-IE"/>
        </w:rPr>
        <w:instrText xml:space="preserve"> REF _Ref227152808 \r \h </w:instrText>
      </w:r>
      <w:r w:rsidR="00424FFA" w:rsidRPr="0038793C">
        <w:rPr>
          <w:noProof/>
        </w:rPr>
      </w:r>
      <w:r w:rsidR="00424FFA" w:rsidRPr="0038793C">
        <w:rPr>
          <w:noProof/>
          <w:lang w:val="en-IE"/>
        </w:rPr>
        <w:fldChar w:fldCharType="separate"/>
      </w:r>
      <w:r w:rsidR="00227418">
        <w:rPr>
          <w:noProof/>
          <w:lang w:val="en-IE"/>
        </w:rPr>
        <w:t>4.2.1</w:t>
      </w:r>
      <w:r w:rsidR="00424FFA" w:rsidRPr="0038793C">
        <w:rPr>
          <w:noProof/>
        </w:rPr>
        <w:fldChar w:fldCharType="end"/>
      </w:r>
      <w:r w:rsidRPr="00FC7BCE">
        <w:rPr>
          <w:noProof/>
          <w:lang w:val="en-IE"/>
        </w:rPr>
        <w:t xml:space="preserve"> abo</w:t>
      </w:r>
      <w:r>
        <w:rPr>
          <w:noProof/>
          <w:lang w:val="en-IE"/>
        </w:rPr>
        <w:t>ve.</w:t>
      </w:r>
      <w:r w:rsidR="001E33A9">
        <w:rPr>
          <w:noProof/>
          <w:lang w:val="en-IE"/>
        </w:rPr>
        <w:t xml:space="preserve"> </w:t>
      </w:r>
    </w:p>
    <w:p w14:paraId="7F3C78EC" w14:textId="17BB69C5" w:rsidR="009B0955" w:rsidRDefault="00C87A76" w:rsidP="004A1922">
      <w:pPr>
        <w:rPr>
          <w:noProof/>
          <w:lang w:val="en-IE"/>
        </w:rPr>
      </w:pPr>
      <w:r w:rsidRPr="00FC7BCE">
        <w:rPr>
          <w:noProof/>
          <w:lang w:val="en-IE"/>
        </w:rPr>
        <w:t xml:space="preserve">Overall, the analysis indicates that the FSR is functioning effectively. The </w:t>
      </w:r>
      <w:r w:rsidR="002C3820">
        <w:rPr>
          <w:noProof/>
          <w:lang w:val="en-IE"/>
        </w:rPr>
        <w:t>s</w:t>
      </w:r>
      <w:r w:rsidR="00E525B7">
        <w:rPr>
          <w:noProof/>
          <w:lang w:val="en-IE"/>
        </w:rPr>
        <w:t xml:space="preserve">tudy </w:t>
      </w:r>
      <w:r w:rsidR="009B0955">
        <w:rPr>
          <w:noProof/>
          <w:lang w:val="en-IE"/>
        </w:rPr>
        <w:t xml:space="preserve">concludes </w:t>
      </w:r>
      <w:r w:rsidR="00E525B7">
        <w:rPr>
          <w:noProof/>
          <w:lang w:val="en-IE"/>
        </w:rPr>
        <w:t xml:space="preserve">that </w:t>
      </w:r>
      <w:r w:rsidR="008B1FDC">
        <w:rPr>
          <w:noProof/>
          <w:lang w:val="en-IE"/>
        </w:rPr>
        <w:t>the</w:t>
      </w:r>
      <w:r w:rsidRPr="00FC7BCE">
        <w:rPr>
          <w:noProof/>
          <w:lang w:val="en-IE"/>
        </w:rPr>
        <w:t xml:space="preserve"> Commission consistently meets procedural deadlines and has improved efficiency over time. The notification thresholds (</w:t>
      </w:r>
      <w:r w:rsidR="005E12BA" w:rsidRPr="00FC7BCE">
        <w:rPr>
          <w:noProof/>
          <w:lang w:val="en-IE"/>
        </w:rPr>
        <w:t>EUR</w:t>
      </w:r>
      <w:r w:rsidR="005E12BA">
        <w:rPr>
          <w:noProof/>
          <w:lang w:val="en-IE"/>
        </w:rPr>
        <w:t> </w:t>
      </w:r>
      <w:r w:rsidRPr="00FC7BCE">
        <w:rPr>
          <w:noProof/>
          <w:lang w:val="en-IE"/>
        </w:rPr>
        <w:t xml:space="preserve">500 million turnover and </w:t>
      </w:r>
      <w:r w:rsidR="005E12BA" w:rsidRPr="00FC7BCE">
        <w:rPr>
          <w:noProof/>
          <w:lang w:val="en-IE"/>
        </w:rPr>
        <w:t>EUR</w:t>
      </w:r>
      <w:r w:rsidR="005E12BA">
        <w:rPr>
          <w:noProof/>
          <w:lang w:val="en-IE"/>
        </w:rPr>
        <w:t> </w:t>
      </w:r>
      <w:r w:rsidRPr="00FC7BCE">
        <w:rPr>
          <w:noProof/>
          <w:lang w:val="en-IE"/>
        </w:rPr>
        <w:t>50 million in FFCs) appear to appropriately capture transactions with the highest risk of distortion</w:t>
      </w:r>
      <w:r w:rsidRPr="00FC7BCE" w:rsidDel="007D3298">
        <w:rPr>
          <w:noProof/>
          <w:lang w:val="en-IE"/>
        </w:rPr>
        <w:t>.</w:t>
      </w:r>
      <w:r w:rsidR="00071EBA">
        <w:rPr>
          <w:noProof/>
          <w:lang w:val="en-IE"/>
        </w:rPr>
        <w:t xml:space="preserve"> </w:t>
      </w:r>
    </w:p>
    <w:p w14:paraId="4BF3BEA1" w14:textId="4A7B8149" w:rsidR="00C87A76" w:rsidRPr="00FC7BCE" w:rsidRDefault="00C87A76" w:rsidP="004A1922">
      <w:pPr>
        <w:rPr>
          <w:noProof/>
          <w:lang w:val="en-IE"/>
        </w:rPr>
      </w:pPr>
      <w:r w:rsidRPr="00FC7BCE">
        <w:rPr>
          <w:noProof/>
          <w:lang w:val="en-IE"/>
        </w:rPr>
        <w:t xml:space="preserve">At the same time, the </w:t>
      </w:r>
      <w:r w:rsidR="00734B7A">
        <w:rPr>
          <w:noProof/>
          <w:lang w:val="en-IE"/>
        </w:rPr>
        <w:t>FSR Review Study</w:t>
      </w:r>
      <w:r w:rsidR="00734B7A" w:rsidRPr="00FC7BCE">
        <w:rPr>
          <w:noProof/>
          <w:lang w:val="en-IE"/>
        </w:rPr>
        <w:t xml:space="preserve"> </w:t>
      </w:r>
      <w:r w:rsidRPr="00FC7BCE">
        <w:rPr>
          <w:noProof/>
          <w:lang w:val="en-IE"/>
        </w:rPr>
        <w:t>identifies areas for improvement. A significant number of cases</w:t>
      </w:r>
      <w:r w:rsidR="00044370">
        <w:rPr>
          <w:noProof/>
          <w:lang w:val="en-IE"/>
        </w:rPr>
        <w:t xml:space="preserve"> raising no concerns</w:t>
      </w:r>
      <w:r w:rsidRPr="00FC7BCE">
        <w:rPr>
          <w:noProof/>
          <w:lang w:val="en-IE"/>
        </w:rPr>
        <w:t xml:space="preserve">, </w:t>
      </w:r>
      <w:r w:rsidR="00536FCB">
        <w:rPr>
          <w:noProof/>
          <w:lang w:val="en-IE"/>
        </w:rPr>
        <w:t xml:space="preserve">closed after preliminary review, </w:t>
      </w:r>
      <w:r w:rsidRPr="00FC7BCE">
        <w:rPr>
          <w:noProof/>
          <w:lang w:val="en-IE"/>
        </w:rPr>
        <w:t xml:space="preserve">particularly involving investment fund acquirers, continue to be notified. </w:t>
      </w:r>
      <w:r w:rsidR="00536FCB">
        <w:rPr>
          <w:noProof/>
          <w:lang w:val="en-IE"/>
        </w:rPr>
        <w:t xml:space="preserve">It </w:t>
      </w:r>
      <w:r w:rsidR="002C3820">
        <w:rPr>
          <w:noProof/>
          <w:lang w:val="en-IE"/>
        </w:rPr>
        <w:t>should be pointed out</w:t>
      </w:r>
      <w:r w:rsidR="00536FCB">
        <w:rPr>
          <w:noProof/>
          <w:lang w:val="en-IE"/>
        </w:rPr>
        <w:t xml:space="preserve"> that the feedback received in the FSR Review Study does not </w:t>
      </w:r>
      <w:r w:rsidR="002C3820">
        <w:rPr>
          <w:noProof/>
          <w:lang w:val="en-IE"/>
        </w:rPr>
        <w:t xml:space="preserve">include </w:t>
      </w:r>
      <w:r w:rsidR="00536FCB">
        <w:rPr>
          <w:noProof/>
          <w:lang w:val="en-IE"/>
        </w:rPr>
        <w:t>the</w:t>
      </w:r>
      <w:r w:rsidR="00536FCB" w:rsidDel="007D3298">
        <w:rPr>
          <w:noProof/>
          <w:lang w:val="en-IE"/>
        </w:rPr>
        <w:t xml:space="preserve"> </w:t>
      </w:r>
      <w:r w:rsidRPr="00FC7BCE">
        <w:rPr>
          <w:noProof/>
          <w:lang w:val="en-IE"/>
        </w:rPr>
        <w:t>recent guidance (notably Question 26 of the DG COMP Q&amp;A)</w:t>
      </w:r>
      <w:r w:rsidR="00536FCB">
        <w:rPr>
          <w:noProof/>
          <w:lang w:val="en-IE"/>
        </w:rPr>
        <w:t>, which</w:t>
      </w:r>
      <w:r w:rsidRPr="00FC7BCE">
        <w:rPr>
          <w:noProof/>
          <w:lang w:val="en-IE"/>
        </w:rPr>
        <w:t xml:space="preserve"> has alleviated this burden</w:t>
      </w:r>
      <w:r w:rsidR="00536FCB">
        <w:rPr>
          <w:noProof/>
          <w:lang w:val="en-IE"/>
        </w:rPr>
        <w:t>. In this regard</w:t>
      </w:r>
      <w:r w:rsidRPr="00FC7BCE">
        <w:rPr>
          <w:noProof/>
          <w:lang w:val="en-IE"/>
        </w:rPr>
        <w:t xml:space="preserve">, </w:t>
      </w:r>
      <w:r w:rsidR="00536FCB">
        <w:rPr>
          <w:noProof/>
          <w:lang w:val="en-IE"/>
        </w:rPr>
        <w:t>the FSR Review Study concludes that</w:t>
      </w:r>
      <w:r w:rsidRPr="00FC7BCE">
        <w:rPr>
          <w:noProof/>
          <w:lang w:val="en-IE"/>
        </w:rPr>
        <w:t xml:space="preserve"> further refinements may be beneficial</w:t>
      </w:r>
      <w:r w:rsidR="00D45424">
        <w:rPr>
          <w:noProof/>
          <w:lang w:val="en-IE"/>
        </w:rPr>
        <w:t>, such as extending the list of exempted FFCs to include</w:t>
      </w:r>
      <w:r w:rsidR="005E12BA">
        <w:rPr>
          <w:noProof/>
          <w:lang w:val="en-IE"/>
        </w:rPr>
        <w:t xml:space="preserve"> </w:t>
      </w:r>
      <w:r w:rsidR="00D45424">
        <w:rPr>
          <w:noProof/>
          <w:lang w:val="en-IE"/>
        </w:rPr>
        <w:t xml:space="preserve">FFCs </w:t>
      </w:r>
      <w:r w:rsidR="009B0955">
        <w:rPr>
          <w:noProof/>
        </w:rPr>
        <w:t>in the form of LP contributions</w:t>
      </w:r>
      <w:r w:rsidR="006C1E5D" w:rsidRPr="006C1E5D">
        <w:rPr>
          <w:noProof/>
        </w:rPr>
        <w:t xml:space="preserve"> </w:t>
      </w:r>
      <w:r w:rsidR="006C1E5D">
        <w:rPr>
          <w:noProof/>
        </w:rPr>
        <w:t xml:space="preserve">and </w:t>
      </w:r>
      <w:r w:rsidR="00D45424">
        <w:rPr>
          <w:noProof/>
        </w:rPr>
        <w:t xml:space="preserve">FFCs to </w:t>
      </w:r>
      <w:r w:rsidR="006C1E5D">
        <w:rPr>
          <w:noProof/>
        </w:rPr>
        <w:t xml:space="preserve">portfolio companies </w:t>
      </w:r>
      <w:r w:rsidR="006C1E5D" w:rsidRPr="006C1E5D">
        <w:rPr>
          <w:noProof/>
        </w:rPr>
        <w:t xml:space="preserve">that cannot cross-subsidise </w:t>
      </w:r>
      <w:r w:rsidR="006C1E5D">
        <w:rPr>
          <w:noProof/>
        </w:rPr>
        <w:t xml:space="preserve">the </w:t>
      </w:r>
      <w:r w:rsidR="006C1E5D" w:rsidRPr="006C1E5D">
        <w:rPr>
          <w:noProof/>
        </w:rPr>
        <w:t>acquiring funds.</w:t>
      </w:r>
    </w:p>
    <w:p w14:paraId="60E504F9" w14:textId="7F1BAC4D" w:rsidR="00C87A76" w:rsidRPr="00FC7BCE" w:rsidRDefault="00C87A76" w:rsidP="004A1922">
      <w:pPr>
        <w:rPr>
          <w:noProof/>
          <w:lang w:val="en-IE"/>
        </w:rPr>
      </w:pPr>
      <w:r w:rsidRPr="00FC7BCE">
        <w:rPr>
          <w:noProof/>
          <w:lang w:val="en-IE"/>
        </w:rPr>
        <w:t xml:space="preserve">In addition, </w:t>
      </w:r>
      <w:r w:rsidR="00044370">
        <w:rPr>
          <w:noProof/>
          <w:lang w:val="en-IE"/>
        </w:rPr>
        <w:t xml:space="preserve">the </w:t>
      </w:r>
      <w:r w:rsidR="00734B7A" w:rsidRPr="00FC7BCE">
        <w:rPr>
          <w:noProof/>
          <w:lang w:val="en-IE"/>
        </w:rPr>
        <w:t>FSR</w:t>
      </w:r>
      <w:r w:rsidR="00734B7A">
        <w:rPr>
          <w:noProof/>
          <w:lang w:val="en-IE"/>
        </w:rPr>
        <w:t xml:space="preserve"> Review Study </w:t>
      </w:r>
      <w:r w:rsidR="00044370">
        <w:rPr>
          <w:noProof/>
          <w:lang w:val="en-IE"/>
        </w:rPr>
        <w:t>notes that</w:t>
      </w:r>
      <w:r w:rsidRPr="00FC7BCE">
        <w:rPr>
          <w:noProof/>
          <w:lang w:val="en-IE"/>
        </w:rPr>
        <w:t xml:space="preserve"> some uncertainty remains </w:t>
      </w:r>
      <w:r w:rsidR="002C3820">
        <w:rPr>
          <w:noProof/>
          <w:lang w:val="en-IE"/>
        </w:rPr>
        <w:t>over</w:t>
      </w:r>
      <w:r w:rsidR="002C3820" w:rsidRPr="00FC7BCE">
        <w:rPr>
          <w:noProof/>
          <w:lang w:val="en-IE"/>
        </w:rPr>
        <w:t xml:space="preserve"> </w:t>
      </w:r>
      <w:r w:rsidRPr="00FC7BCE">
        <w:rPr>
          <w:noProof/>
          <w:lang w:val="en-IE"/>
        </w:rPr>
        <w:t>the treatment of specific types of FFCs, such as tax measures, where further clarification would be useful.</w:t>
      </w:r>
    </w:p>
    <w:p w14:paraId="59367831" w14:textId="06F80DC9" w:rsidR="00C87A76" w:rsidRPr="00424FFA" w:rsidRDefault="00C87A76" w:rsidP="004A1922">
      <w:pPr>
        <w:rPr>
          <w:noProof/>
          <w:lang w:val="en-IE"/>
        </w:rPr>
      </w:pPr>
      <w:r w:rsidRPr="00FC7BCE">
        <w:rPr>
          <w:noProof/>
          <w:lang w:val="en-IE"/>
        </w:rPr>
        <w:t>In conclusion, the FSR</w:t>
      </w:r>
      <w:r>
        <w:rPr>
          <w:noProof/>
          <w:lang w:val="en-IE"/>
        </w:rPr>
        <w:t xml:space="preserve"> Review Study found that the FSR</w:t>
      </w:r>
      <w:r w:rsidRPr="00FC7BCE">
        <w:rPr>
          <w:noProof/>
          <w:lang w:val="en-IE"/>
        </w:rPr>
        <w:t xml:space="preserve"> </w:t>
      </w:r>
      <w:r w:rsidR="002C3820">
        <w:rPr>
          <w:noProof/>
          <w:lang w:val="en-IE"/>
        </w:rPr>
        <w:t>was</w:t>
      </w:r>
      <w:r w:rsidR="002C3820" w:rsidRPr="00FC7BCE">
        <w:rPr>
          <w:noProof/>
          <w:lang w:val="en-IE"/>
        </w:rPr>
        <w:t xml:space="preserve"> </w:t>
      </w:r>
      <w:r w:rsidRPr="00FC7BCE">
        <w:rPr>
          <w:noProof/>
          <w:lang w:val="en-IE"/>
        </w:rPr>
        <w:t xml:space="preserve">broadly achieving its objectives by </w:t>
      </w:r>
      <w:r w:rsidR="007A3981">
        <w:rPr>
          <w:noProof/>
          <w:lang w:val="en-IE"/>
        </w:rPr>
        <w:t>target</w:t>
      </w:r>
      <w:r w:rsidRPr="00FC7BCE">
        <w:rPr>
          <w:noProof/>
          <w:lang w:val="en-IE"/>
        </w:rPr>
        <w:t xml:space="preserve">ing distortive subsidies without imposing disproportionate burdens on undertakings. Nonetheless, </w:t>
      </w:r>
      <w:r w:rsidR="007A3981">
        <w:rPr>
          <w:noProof/>
          <w:lang w:val="en-IE"/>
        </w:rPr>
        <w:t>target</w:t>
      </w:r>
      <w:r w:rsidRPr="00FC7BCE">
        <w:rPr>
          <w:noProof/>
          <w:lang w:val="en-IE"/>
        </w:rPr>
        <w:t xml:space="preserve">ed adjustments </w:t>
      </w:r>
      <w:r w:rsidR="00D45424">
        <w:rPr>
          <w:noProof/>
          <w:lang w:val="en-IE"/>
        </w:rPr>
        <w:t>considering the points outlined in this section</w:t>
      </w:r>
      <w:r w:rsidRPr="00FC7BCE">
        <w:rPr>
          <w:noProof/>
          <w:lang w:val="en-IE"/>
        </w:rPr>
        <w:t xml:space="preserve"> could enhance its effectiveness and reduce administrative burden for both companies and the Commission.</w:t>
      </w:r>
    </w:p>
    <w:p w14:paraId="3A879E2B" w14:textId="75357B28" w:rsidR="00CC58D4" w:rsidRPr="005F1145" w:rsidRDefault="00512213" w:rsidP="00AA7FF1">
      <w:pPr>
        <w:pStyle w:val="Heading4"/>
        <w:rPr>
          <w:noProof/>
          <w:lang w:val="en-IE"/>
        </w:rPr>
      </w:pPr>
      <w:bookmarkStart w:id="93" w:name="_Ref231830253"/>
      <w:bookmarkStart w:id="94" w:name="_Toc234227873"/>
      <w:r w:rsidRPr="005F1145">
        <w:rPr>
          <w:noProof/>
          <w:lang w:val="en-IE"/>
        </w:rPr>
        <w:t xml:space="preserve">The </w:t>
      </w:r>
      <w:r w:rsidRPr="00EA4DDE">
        <w:rPr>
          <w:noProof/>
        </w:rPr>
        <w:t>Commission</w:t>
      </w:r>
      <w:r w:rsidR="00A54789">
        <w:rPr>
          <w:noProof/>
        </w:rPr>
        <w:t xml:space="preserve"> services</w:t>
      </w:r>
      <w:r w:rsidRPr="00EA4DDE">
        <w:rPr>
          <w:noProof/>
        </w:rPr>
        <w:t>’</w:t>
      </w:r>
      <w:r w:rsidRPr="005F1145">
        <w:rPr>
          <w:noProof/>
          <w:lang w:val="en-IE"/>
        </w:rPr>
        <w:t xml:space="preserve"> assessment</w:t>
      </w:r>
      <w:bookmarkEnd w:id="93"/>
      <w:bookmarkEnd w:id="94"/>
    </w:p>
    <w:p w14:paraId="3F652F40" w14:textId="7C69FE69" w:rsidR="00DA4CB7" w:rsidRPr="00424FFA" w:rsidRDefault="00737760" w:rsidP="004A1922">
      <w:pPr>
        <w:rPr>
          <w:noProof/>
        </w:rPr>
      </w:pPr>
      <w:r>
        <w:rPr>
          <w:noProof/>
        </w:rPr>
        <w:t>E</w:t>
      </w:r>
      <w:r w:rsidR="00DA4CB7" w:rsidRPr="00750DE1">
        <w:rPr>
          <w:noProof/>
        </w:rPr>
        <w:t xml:space="preserve">arly enforcement experience under the concentration notification </w:t>
      </w:r>
      <w:r w:rsidR="008A6947">
        <w:rPr>
          <w:noProof/>
        </w:rPr>
        <w:t>procedure</w:t>
      </w:r>
      <w:r w:rsidR="00DA4CB7" w:rsidRPr="00424FFA">
        <w:rPr>
          <w:noProof/>
        </w:rPr>
        <w:t xml:space="preserve"> provides a solid basis for assessing the functioning of </w:t>
      </w:r>
      <w:r w:rsidR="00D45424">
        <w:rPr>
          <w:noProof/>
        </w:rPr>
        <w:t>FSR as a new enforcement instrument</w:t>
      </w:r>
      <w:r w:rsidR="00DA4CB7" w:rsidRPr="00424FFA">
        <w:rPr>
          <w:noProof/>
        </w:rPr>
        <w:t>. While the number of notified cases has been higher than initially anticipated</w:t>
      </w:r>
      <w:r w:rsidR="00C87A76">
        <w:rPr>
          <w:noProof/>
        </w:rPr>
        <w:t xml:space="preserve"> in the Impact Assessment which accompanied the </w:t>
      </w:r>
      <w:r w:rsidR="002C3820">
        <w:rPr>
          <w:noProof/>
        </w:rPr>
        <w:t>p</w:t>
      </w:r>
      <w:r w:rsidR="00C87A76">
        <w:rPr>
          <w:noProof/>
        </w:rPr>
        <w:t>roposal for the Regulation</w:t>
      </w:r>
      <w:r w:rsidR="00C87A76" w:rsidRPr="00C87A76">
        <w:rPr>
          <w:noProof/>
        </w:rPr>
        <w:t> (</w:t>
      </w:r>
      <w:r w:rsidR="00C87A76">
        <w:rPr>
          <w:rStyle w:val="FootnoteReference"/>
          <w:noProof/>
        </w:rPr>
        <w:footnoteReference w:id="67"/>
      </w:r>
      <w:r w:rsidR="00C87A76">
        <w:rPr>
          <w:noProof/>
        </w:rPr>
        <w:t>)</w:t>
      </w:r>
      <w:r w:rsidR="00DA4CB7" w:rsidRPr="00424FFA">
        <w:rPr>
          <w:noProof/>
        </w:rPr>
        <w:t xml:space="preserve">, this experience has offered valuable insight into both the </w:t>
      </w:r>
      <w:r w:rsidR="00F50894" w:rsidRPr="00424FFA">
        <w:rPr>
          <w:noProof/>
        </w:rPr>
        <w:t>strengths</w:t>
      </w:r>
      <w:r w:rsidR="00DA4CB7" w:rsidRPr="00424FFA">
        <w:rPr>
          <w:noProof/>
        </w:rPr>
        <w:t xml:space="preserve"> of the framework and areas where further calibration may be warranted. In particular, experience to date indicates that</w:t>
      </w:r>
      <w:r w:rsidR="00D45424">
        <w:rPr>
          <w:noProof/>
        </w:rPr>
        <w:t xml:space="preserve">, </w:t>
      </w:r>
      <w:r w:rsidR="007A6781">
        <w:rPr>
          <w:noProof/>
        </w:rPr>
        <w:t>the Commission closed around 9</w:t>
      </w:r>
      <w:r w:rsidR="00F009A6">
        <w:rPr>
          <w:noProof/>
        </w:rPr>
        <w:t>7</w:t>
      </w:r>
      <w:r w:rsidR="007A6781">
        <w:rPr>
          <w:noProof/>
        </w:rPr>
        <w:t>%</w:t>
      </w:r>
      <w:r w:rsidR="00DA4CB7" w:rsidRPr="00071EBA">
        <w:rPr>
          <w:noProof/>
        </w:rPr>
        <w:t xml:space="preserve"> of notified concentrations </w:t>
      </w:r>
      <w:r w:rsidR="007A6781">
        <w:rPr>
          <w:noProof/>
        </w:rPr>
        <w:t>after preliminary review, without</w:t>
      </w:r>
      <w:r w:rsidR="00D45424">
        <w:rPr>
          <w:noProof/>
        </w:rPr>
        <w:t xml:space="preserve"> opening an in-depth </w:t>
      </w:r>
      <w:r w:rsidR="00AC7094">
        <w:rPr>
          <w:noProof/>
        </w:rPr>
        <w:t>investigation </w:t>
      </w:r>
      <w:r w:rsidR="00413B41" w:rsidRPr="00071EBA">
        <w:rPr>
          <w:noProof/>
        </w:rPr>
        <w:t>(</w:t>
      </w:r>
      <w:r w:rsidR="00D45424">
        <w:rPr>
          <w:rStyle w:val="FootnoteReference"/>
          <w:noProof/>
        </w:rPr>
        <w:footnoteReference w:id="68"/>
      </w:r>
      <w:r w:rsidR="00D45424">
        <w:rPr>
          <w:noProof/>
        </w:rPr>
        <w:t>)</w:t>
      </w:r>
      <w:r w:rsidR="00E06CCE">
        <w:rPr>
          <w:noProof/>
        </w:rPr>
        <w:t>.</w:t>
      </w:r>
      <w:r w:rsidR="006D7A8C">
        <w:rPr>
          <w:noProof/>
        </w:rPr>
        <w:t xml:space="preserve"> </w:t>
      </w:r>
      <w:r w:rsidR="00E06CCE">
        <w:rPr>
          <w:noProof/>
        </w:rPr>
        <w:t>T</w:t>
      </w:r>
      <w:r w:rsidR="006D7A8C">
        <w:rPr>
          <w:noProof/>
        </w:rPr>
        <w:t xml:space="preserve">his proportion does not differ significantly from the proportion of </w:t>
      </w:r>
      <w:r w:rsidR="00F43E0F">
        <w:rPr>
          <w:noProof/>
        </w:rPr>
        <w:t xml:space="preserve">compatible </w:t>
      </w:r>
      <w:r w:rsidR="006D7A8C">
        <w:rPr>
          <w:noProof/>
        </w:rPr>
        <w:t xml:space="preserve">cases reviewed </w:t>
      </w:r>
      <w:r w:rsidR="007A6781">
        <w:rPr>
          <w:noProof/>
        </w:rPr>
        <w:t xml:space="preserve">in Phase I </w:t>
      </w:r>
      <w:r w:rsidR="006D7A8C">
        <w:rPr>
          <w:noProof/>
        </w:rPr>
        <w:t>under the EUMR</w:t>
      </w:r>
      <w:r w:rsidR="006D7A8C" w:rsidRPr="006D7A8C">
        <w:rPr>
          <w:noProof/>
        </w:rPr>
        <w:t> (</w:t>
      </w:r>
      <w:r w:rsidR="006D7A8C">
        <w:rPr>
          <w:rStyle w:val="FootnoteReference"/>
          <w:noProof/>
        </w:rPr>
        <w:footnoteReference w:id="69"/>
      </w:r>
      <w:r w:rsidR="006D7A8C">
        <w:rPr>
          <w:noProof/>
        </w:rPr>
        <w:t>)</w:t>
      </w:r>
      <w:r w:rsidR="006971DF">
        <w:rPr>
          <w:noProof/>
        </w:rPr>
        <w:t>.</w:t>
      </w:r>
      <w:r w:rsidR="000B73A5">
        <w:rPr>
          <w:noProof/>
        </w:rPr>
        <w:t xml:space="preserve"> </w:t>
      </w:r>
      <w:r w:rsidR="006D7A8C">
        <w:rPr>
          <w:noProof/>
        </w:rPr>
        <w:t>In this regard, p</w:t>
      </w:r>
      <w:r w:rsidR="003C7F5B" w:rsidRPr="00750DE1">
        <w:rPr>
          <w:noProof/>
        </w:rPr>
        <w:t xml:space="preserve">art of the </w:t>
      </w:r>
      <w:r w:rsidR="00343AE8">
        <w:rPr>
          <w:noProof/>
        </w:rPr>
        <w:t xml:space="preserve">perceived administrative </w:t>
      </w:r>
      <w:r w:rsidR="003C7F5B" w:rsidRPr="00750DE1">
        <w:rPr>
          <w:noProof/>
        </w:rPr>
        <w:t>burden</w:t>
      </w:r>
      <w:r w:rsidR="00343AE8">
        <w:rPr>
          <w:noProof/>
        </w:rPr>
        <w:t xml:space="preserve"> reflected in the </w:t>
      </w:r>
      <w:r w:rsidR="00424FFA">
        <w:rPr>
          <w:noProof/>
        </w:rPr>
        <w:t>S</w:t>
      </w:r>
      <w:r w:rsidR="00343AE8">
        <w:rPr>
          <w:noProof/>
        </w:rPr>
        <w:t>takeholders</w:t>
      </w:r>
      <w:r w:rsidR="00627E9D">
        <w:rPr>
          <w:noProof/>
        </w:rPr>
        <w:t>’</w:t>
      </w:r>
      <w:r w:rsidR="00343AE8">
        <w:rPr>
          <w:noProof/>
        </w:rPr>
        <w:t xml:space="preserve"> </w:t>
      </w:r>
      <w:r w:rsidR="00424FFA">
        <w:rPr>
          <w:noProof/>
        </w:rPr>
        <w:t>C</w:t>
      </w:r>
      <w:r w:rsidR="00343AE8">
        <w:rPr>
          <w:noProof/>
        </w:rPr>
        <w:t>onsultations</w:t>
      </w:r>
      <w:r w:rsidR="003C7F5B" w:rsidRPr="00424FFA">
        <w:rPr>
          <w:noProof/>
        </w:rPr>
        <w:t xml:space="preserve"> also reflects the learning curve associated with a new regulatory framework, both for notifying parties and for the Commission.</w:t>
      </w:r>
    </w:p>
    <w:p w14:paraId="647B9033" w14:textId="13116324" w:rsidR="00EF6543" w:rsidRPr="00750DE1" w:rsidRDefault="00183BEA" w:rsidP="004A1922">
      <w:pPr>
        <w:rPr>
          <w:noProof/>
        </w:rPr>
      </w:pPr>
      <w:r>
        <w:rPr>
          <w:noProof/>
        </w:rPr>
        <w:t>K</w:t>
      </w:r>
      <w:r w:rsidR="00DA4CB7" w:rsidRPr="00424FFA">
        <w:rPr>
          <w:noProof/>
        </w:rPr>
        <w:t xml:space="preserve">ey elements of the notification framework for concentrations </w:t>
      </w:r>
      <w:r>
        <w:rPr>
          <w:noProof/>
        </w:rPr>
        <w:t xml:space="preserve">are considered to </w:t>
      </w:r>
      <w:r w:rsidR="00DA4CB7" w:rsidRPr="00424FFA">
        <w:rPr>
          <w:noProof/>
        </w:rPr>
        <w:t xml:space="preserve">function effectively. In </w:t>
      </w:r>
      <w:r w:rsidR="00F50894" w:rsidRPr="00424FFA">
        <w:rPr>
          <w:noProof/>
        </w:rPr>
        <w:t>particular,</w:t>
      </w:r>
      <w:r w:rsidR="00DA4CB7" w:rsidRPr="00424FFA">
        <w:rPr>
          <w:noProof/>
        </w:rPr>
        <w:t xml:space="preserve"> the turnover threshold for notified concentrations is generally </w:t>
      </w:r>
      <w:r w:rsidR="000C70F9" w:rsidRPr="000C70F9">
        <w:rPr>
          <w:noProof/>
        </w:rPr>
        <w:t>perceived</w:t>
      </w:r>
      <w:r w:rsidR="00DA4CB7" w:rsidRPr="00750DE1">
        <w:rPr>
          <w:noProof/>
        </w:rPr>
        <w:t xml:space="preserve"> as </w:t>
      </w:r>
      <w:r w:rsidR="0023745B">
        <w:rPr>
          <w:noProof/>
        </w:rPr>
        <w:t xml:space="preserve">an </w:t>
      </w:r>
      <w:r w:rsidR="00DA4CB7" w:rsidRPr="00750DE1">
        <w:rPr>
          <w:noProof/>
        </w:rPr>
        <w:t>appropriate</w:t>
      </w:r>
      <w:r w:rsidR="00627E9D">
        <w:rPr>
          <w:noProof/>
        </w:rPr>
        <w:t xml:space="preserve"> proxy</w:t>
      </w:r>
      <w:r w:rsidR="00DA4CB7" w:rsidRPr="00750DE1">
        <w:rPr>
          <w:noProof/>
        </w:rPr>
        <w:t xml:space="preserve"> </w:t>
      </w:r>
      <w:r w:rsidR="0083363B">
        <w:rPr>
          <w:noProof/>
        </w:rPr>
        <w:t>for</w:t>
      </w:r>
      <w:r w:rsidR="00DA4CB7" w:rsidRPr="00750DE1">
        <w:rPr>
          <w:noProof/>
        </w:rPr>
        <w:t xml:space="preserve"> the system </w:t>
      </w:r>
      <w:r w:rsidR="0083363B">
        <w:rPr>
          <w:noProof/>
        </w:rPr>
        <w:t xml:space="preserve">to </w:t>
      </w:r>
      <w:r w:rsidR="00DA4CB7" w:rsidRPr="00750DE1">
        <w:rPr>
          <w:noProof/>
        </w:rPr>
        <w:t xml:space="preserve">capture transactions with a meaningful economic nexus to the EU. </w:t>
      </w:r>
      <w:r w:rsidR="00E35ADA">
        <w:rPr>
          <w:noProof/>
        </w:rPr>
        <w:t xml:space="preserve">In addition, it should also be noted that under </w:t>
      </w:r>
      <w:r w:rsidR="00AC7094">
        <w:rPr>
          <w:noProof/>
        </w:rPr>
        <w:t>Chapter </w:t>
      </w:r>
      <w:r w:rsidR="00E35ADA">
        <w:rPr>
          <w:noProof/>
        </w:rPr>
        <w:t>3 FSR, in case</w:t>
      </w:r>
      <w:r w:rsidR="00F43E0F">
        <w:rPr>
          <w:noProof/>
        </w:rPr>
        <w:t>s,</w:t>
      </w:r>
      <w:r w:rsidR="00E35ADA">
        <w:rPr>
          <w:noProof/>
        </w:rPr>
        <w:t xml:space="preserve"> which result in the creation of joint ventures, the turnover threshold is calculated with reference to the joint venture itself, and not</w:t>
      </w:r>
      <w:r w:rsidR="008604C5">
        <w:rPr>
          <w:noProof/>
        </w:rPr>
        <w:t xml:space="preserve"> to</w:t>
      </w:r>
      <w:r w:rsidR="00E35ADA">
        <w:rPr>
          <w:noProof/>
        </w:rPr>
        <w:t xml:space="preserve"> the undertakings creating the joint venture. This limits the obligation to notify </w:t>
      </w:r>
      <w:r w:rsidR="00F769C8">
        <w:rPr>
          <w:noProof/>
        </w:rPr>
        <w:t xml:space="preserve">only to cases where the joint venture itself has realised a significant </w:t>
      </w:r>
      <w:r w:rsidR="00D45424">
        <w:rPr>
          <w:noProof/>
        </w:rPr>
        <w:t xml:space="preserve">EU </w:t>
      </w:r>
      <w:r w:rsidR="00F769C8">
        <w:rPr>
          <w:noProof/>
        </w:rPr>
        <w:t xml:space="preserve">turnover, </w:t>
      </w:r>
      <w:r w:rsidR="00E35ADA">
        <w:rPr>
          <w:noProof/>
        </w:rPr>
        <w:t xml:space="preserve">in contrast to the </w:t>
      </w:r>
      <w:r w:rsidR="00F769C8">
        <w:rPr>
          <w:noProof/>
        </w:rPr>
        <w:t xml:space="preserve">practice under the </w:t>
      </w:r>
      <w:r w:rsidR="00E35ADA">
        <w:rPr>
          <w:noProof/>
        </w:rPr>
        <w:t>EUMR</w:t>
      </w:r>
      <w:r w:rsidR="00F769C8">
        <w:rPr>
          <w:noProof/>
        </w:rPr>
        <w:t>, which contributes</w:t>
      </w:r>
      <w:r w:rsidR="00F43E0F">
        <w:rPr>
          <w:noProof/>
        </w:rPr>
        <w:t>, among others,</w:t>
      </w:r>
      <w:r w:rsidR="00F769C8">
        <w:rPr>
          <w:noProof/>
        </w:rPr>
        <w:t xml:space="preserve"> </w:t>
      </w:r>
      <w:r w:rsidR="00F43E0F">
        <w:rPr>
          <w:noProof/>
        </w:rPr>
        <w:t>to a</w:t>
      </w:r>
      <w:r w:rsidR="00F769C8">
        <w:rPr>
          <w:noProof/>
        </w:rPr>
        <w:t xml:space="preserve"> lower number of notifications under the FSR compared to the EUMR.</w:t>
      </w:r>
      <w:r w:rsidR="00E35ADA">
        <w:rPr>
          <w:noProof/>
        </w:rPr>
        <w:t xml:space="preserve"> </w:t>
      </w:r>
      <w:r w:rsidR="00AF5C5E">
        <w:rPr>
          <w:noProof/>
        </w:rPr>
        <w:t xml:space="preserve">For any case below the threshold, the Commission </w:t>
      </w:r>
      <w:r w:rsidR="0083363B">
        <w:rPr>
          <w:noProof/>
        </w:rPr>
        <w:t xml:space="preserve">may </w:t>
      </w:r>
      <w:r w:rsidR="00AF5C5E">
        <w:rPr>
          <w:noProof/>
        </w:rPr>
        <w:t xml:space="preserve">still use its powers to request prior notification in accordance with </w:t>
      </w:r>
      <w:r w:rsidR="00AC7094">
        <w:rPr>
          <w:noProof/>
        </w:rPr>
        <w:t>Article </w:t>
      </w:r>
      <w:r w:rsidR="00AF5C5E">
        <w:rPr>
          <w:noProof/>
        </w:rPr>
        <w:t xml:space="preserve">21(5) FSR, which provides further reassurance that potential distortive foreign subsidies </w:t>
      </w:r>
      <w:r w:rsidR="001C3808">
        <w:rPr>
          <w:noProof/>
        </w:rPr>
        <w:t>may</w:t>
      </w:r>
      <w:r w:rsidR="00AF5C5E">
        <w:rPr>
          <w:noProof/>
        </w:rPr>
        <w:t xml:space="preserve"> be caught by the enforcement efforts of the Commission.</w:t>
      </w:r>
    </w:p>
    <w:p w14:paraId="3D6F5D97" w14:textId="51538A82" w:rsidR="00DA4CB7" w:rsidRPr="00750DE1" w:rsidRDefault="00D45424" w:rsidP="004A1922">
      <w:pPr>
        <w:rPr>
          <w:noProof/>
        </w:rPr>
      </w:pPr>
      <w:r w:rsidRPr="00ED7C1D">
        <w:rPr>
          <w:noProof/>
        </w:rPr>
        <w:t xml:space="preserve">The </w:t>
      </w:r>
      <w:r>
        <w:rPr>
          <w:noProof/>
        </w:rPr>
        <w:t xml:space="preserve">high number of FSR notifications </w:t>
      </w:r>
      <w:r w:rsidRPr="00ED7C1D">
        <w:rPr>
          <w:noProof/>
        </w:rPr>
        <w:t xml:space="preserve">confirm </w:t>
      </w:r>
      <w:r>
        <w:rPr>
          <w:noProof/>
        </w:rPr>
        <w:t>the relevance of the Regulation and its stated objective</w:t>
      </w:r>
      <w:r w:rsidR="00F0179E">
        <w:rPr>
          <w:noProof/>
        </w:rPr>
        <w:t xml:space="preserve"> </w:t>
      </w:r>
      <w:r w:rsidR="00F0179E" w:rsidRPr="00F0179E">
        <w:rPr>
          <w:noProof/>
        </w:rPr>
        <w:t>of addressing distortions in the internal market caused by foreign subsidies</w:t>
      </w:r>
      <w:r w:rsidR="00F0179E">
        <w:rPr>
          <w:noProof/>
        </w:rPr>
        <w:t>.</w:t>
      </w:r>
      <w:r>
        <w:rPr>
          <w:noProof/>
        </w:rPr>
        <w:t xml:space="preserve"> </w:t>
      </w:r>
      <w:r w:rsidR="00F0179E">
        <w:rPr>
          <w:noProof/>
        </w:rPr>
        <w:t>In particular,</w:t>
      </w:r>
      <w:r w:rsidR="008604C5">
        <w:rPr>
          <w:noProof/>
        </w:rPr>
        <w:t xml:space="preserve"> </w:t>
      </w:r>
      <w:r w:rsidR="00F0179E" w:rsidRPr="00094DC7">
        <w:rPr>
          <w:noProof/>
          <w:lang w:val="en-IE"/>
        </w:rPr>
        <w:t>the volume of notifications indicates that a significant number of</w:t>
      </w:r>
      <w:r w:rsidR="00F0179E" w:rsidDel="00F0179E">
        <w:rPr>
          <w:noProof/>
        </w:rPr>
        <w:t xml:space="preserve"> </w:t>
      </w:r>
      <w:r w:rsidR="008604C5">
        <w:rPr>
          <w:noProof/>
        </w:rPr>
        <w:t xml:space="preserve">transactions in the internal market </w:t>
      </w:r>
      <w:r w:rsidR="00F0179E">
        <w:rPr>
          <w:noProof/>
        </w:rPr>
        <w:t>involve</w:t>
      </w:r>
      <w:r w:rsidR="008604C5">
        <w:rPr>
          <w:noProof/>
        </w:rPr>
        <w:t xml:space="preserve"> parties </w:t>
      </w:r>
      <w:r w:rsidR="00F0179E">
        <w:rPr>
          <w:noProof/>
        </w:rPr>
        <w:t xml:space="preserve">that </w:t>
      </w:r>
      <w:r w:rsidR="008604C5">
        <w:rPr>
          <w:noProof/>
        </w:rPr>
        <w:t>have received a significant number of FFCs, which could constitute potentially distortive foreign subsidies</w:t>
      </w:r>
      <w:r w:rsidR="00F0179E">
        <w:rPr>
          <w:noProof/>
        </w:rPr>
        <w:t xml:space="preserve"> </w:t>
      </w:r>
      <w:r w:rsidR="00F0179E" w:rsidRPr="00F0179E">
        <w:rPr>
          <w:noProof/>
        </w:rPr>
        <w:t>demonstrating the practical importance of the FSR as a framework</w:t>
      </w:r>
      <w:r w:rsidR="00F0179E">
        <w:rPr>
          <w:noProof/>
        </w:rPr>
        <w:t xml:space="preserve"> </w:t>
      </w:r>
      <w:r w:rsidR="00F0179E" w:rsidRPr="00F0179E">
        <w:rPr>
          <w:noProof/>
        </w:rPr>
        <w:t>to assess whether such contributions may give rise to distortive effects</w:t>
      </w:r>
      <w:r>
        <w:rPr>
          <w:noProof/>
        </w:rPr>
        <w:t xml:space="preserve">. That said, the </w:t>
      </w:r>
      <w:r w:rsidR="00CD08A2">
        <w:rPr>
          <w:noProof/>
        </w:rPr>
        <w:t xml:space="preserve">feedback </w:t>
      </w:r>
      <w:r w:rsidR="004B7E83">
        <w:rPr>
          <w:noProof/>
        </w:rPr>
        <w:t xml:space="preserve">received from stakeholders </w:t>
      </w:r>
      <w:r w:rsidR="00CD08A2">
        <w:rPr>
          <w:noProof/>
        </w:rPr>
        <w:t xml:space="preserve">also highlights the need for the </w:t>
      </w:r>
      <w:r>
        <w:rPr>
          <w:noProof/>
        </w:rPr>
        <w:t>Commission</w:t>
      </w:r>
      <w:r w:rsidR="00CD08A2">
        <w:rPr>
          <w:noProof/>
        </w:rPr>
        <w:t xml:space="preserve"> to</w:t>
      </w:r>
      <w:r>
        <w:rPr>
          <w:noProof/>
        </w:rPr>
        <w:t xml:space="preserve"> continue to carefully </w:t>
      </w:r>
      <w:r w:rsidR="007345F2">
        <w:rPr>
          <w:noProof/>
        </w:rPr>
        <w:t xml:space="preserve">observe </w:t>
      </w:r>
      <w:r>
        <w:rPr>
          <w:noProof/>
        </w:rPr>
        <w:t xml:space="preserve">its practice </w:t>
      </w:r>
      <w:r w:rsidR="00CD08A2">
        <w:rPr>
          <w:noProof/>
        </w:rPr>
        <w:t xml:space="preserve">and </w:t>
      </w:r>
      <w:r>
        <w:rPr>
          <w:noProof/>
        </w:rPr>
        <w:t xml:space="preserve">to identify ways to simplify the compliance process for businesses, while not undermining the effectiveness of the FSR. </w:t>
      </w:r>
      <w:r w:rsidR="00DA4CB7" w:rsidRPr="00750DE1">
        <w:rPr>
          <w:noProof/>
        </w:rPr>
        <w:t xml:space="preserve">Early enforcement experience also confirms the importance of pre-notification contacts, which are widely used and broadly supported by notifying parties. The swiftness and accessibility of communication with Commission case teams during the pre-notification phase facilitate early clarification of reporting obligations and </w:t>
      </w:r>
      <w:r w:rsidR="00F50894" w:rsidRPr="00750DE1">
        <w:rPr>
          <w:noProof/>
        </w:rPr>
        <w:t>contribute</w:t>
      </w:r>
      <w:r w:rsidR="00DA4CB7" w:rsidRPr="00750DE1">
        <w:rPr>
          <w:noProof/>
        </w:rPr>
        <w:t xml:space="preserve"> to more efficient handling of cases.</w:t>
      </w:r>
    </w:p>
    <w:p w14:paraId="07144503" w14:textId="672E64F3" w:rsidR="00DA4CB7" w:rsidRPr="00D1183D" w:rsidRDefault="00737760" w:rsidP="004A1922">
      <w:pPr>
        <w:rPr>
          <w:noProof/>
        </w:rPr>
      </w:pPr>
      <w:r>
        <w:rPr>
          <w:noProof/>
        </w:rPr>
        <w:t>A</w:t>
      </w:r>
      <w:r w:rsidR="00DA4CB7" w:rsidRPr="00750DE1">
        <w:rPr>
          <w:noProof/>
        </w:rPr>
        <w:t xml:space="preserve"> progressive reduction </w:t>
      </w:r>
      <w:r>
        <w:rPr>
          <w:noProof/>
        </w:rPr>
        <w:t xml:space="preserve">was observed </w:t>
      </w:r>
      <w:r w:rsidR="00DA4CB7" w:rsidRPr="00750DE1">
        <w:rPr>
          <w:noProof/>
        </w:rPr>
        <w:t xml:space="preserve">in the overall </w:t>
      </w:r>
      <w:r w:rsidR="006A1E49">
        <w:rPr>
          <w:noProof/>
        </w:rPr>
        <w:t>length</w:t>
      </w:r>
      <w:r w:rsidR="007345F2" w:rsidRPr="00750DE1">
        <w:rPr>
          <w:noProof/>
        </w:rPr>
        <w:t xml:space="preserve"> </w:t>
      </w:r>
      <w:r w:rsidR="00DA4CB7" w:rsidRPr="00750DE1">
        <w:rPr>
          <w:noProof/>
        </w:rPr>
        <w:t>of the review process,</w:t>
      </w:r>
      <w:r w:rsidR="00DA4CB7" w:rsidRPr="00750DE1" w:rsidDel="00890E49">
        <w:rPr>
          <w:noProof/>
        </w:rPr>
        <w:t xml:space="preserve"> </w:t>
      </w:r>
      <w:r w:rsidR="00DA4CB7" w:rsidRPr="00750DE1">
        <w:rPr>
          <w:noProof/>
        </w:rPr>
        <w:t xml:space="preserve">as experience with the </w:t>
      </w:r>
      <w:r w:rsidR="00627E9D">
        <w:rPr>
          <w:noProof/>
        </w:rPr>
        <w:t xml:space="preserve">FSR </w:t>
      </w:r>
      <w:r w:rsidR="00DA4CB7" w:rsidRPr="00750DE1">
        <w:rPr>
          <w:noProof/>
        </w:rPr>
        <w:t>system increases</w:t>
      </w:r>
      <w:r w:rsidR="00DA4CB7" w:rsidRPr="00D1183D">
        <w:rPr>
          <w:noProof/>
        </w:rPr>
        <w:t xml:space="preserve">. In addition, </w:t>
      </w:r>
      <w:r w:rsidR="00F50894" w:rsidRPr="00D1183D">
        <w:rPr>
          <w:noProof/>
        </w:rPr>
        <w:t>the</w:t>
      </w:r>
      <w:r w:rsidR="00DA4CB7" w:rsidRPr="00D1183D">
        <w:rPr>
          <w:noProof/>
        </w:rPr>
        <w:t xml:space="preserve"> statutory 25 working day deadline for preliminary review phase </w:t>
      </w:r>
      <w:r w:rsidR="00187D7A">
        <w:rPr>
          <w:noProof/>
        </w:rPr>
        <w:t>provides</w:t>
      </w:r>
      <w:r w:rsidR="00D46498">
        <w:rPr>
          <w:noProof/>
        </w:rPr>
        <w:t xml:space="preserve"> </w:t>
      </w:r>
      <w:r w:rsidR="00DA4CB7" w:rsidRPr="00D1183D">
        <w:rPr>
          <w:noProof/>
        </w:rPr>
        <w:t>procedural predictability once a complete notification has been submitted. The availability of ex</w:t>
      </w:r>
      <w:r w:rsidR="00B4096F">
        <w:rPr>
          <w:noProof/>
        </w:rPr>
        <w:t>ce</w:t>
      </w:r>
      <w:r w:rsidR="00DA4CB7" w:rsidRPr="00D1183D">
        <w:rPr>
          <w:noProof/>
        </w:rPr>
        <w:t xml:space="preserve">ptions and </w:t>
      </w:r>
      <w:r w:rsidR="00AF5C5E">
        <w:rPr>
          <w:noProof/>
        </w:rPr>
        <w:t xml:space="preserve">the granting of </w:t>
      </w:r>
      <w:r w:rsidR="00DA4CB7" w:rsidRPr="00D1183D">
        <w:rPr>
          <w:noProof/>
        </w:rPr>
        <w:t xml:space="preserve">waivers </w:t>
      </w:r>
      <w:r w:rsidR="00AF5C5E">
        <w:rPr>
          <w:noProof/>
        </w:rPr>
        <w:t>for certain information</w:t>
      </w:r>
      <w:r w:rsidR="00DA4CB7" w:rsidRPr="00D1183D">
        <w:rPr>
          <w:noProof/>
        </w:rPr>
        <w:t xml:space="preserve"> is generally viewed favourably and has proven useful in reducing reporting obligations. </w:t>
      </w:r>
      <w:r w:rsidR="00105EC4">
        <w:rPr>
          <w:noProof/>
        </w:rPr>
        <w:t>However</w:t>
      </w:r>
      <w:r w:rsidR="00DA4CB7" w:rsidRPr="00D1183D">
        <w:rPr>
          <w:noProof/>
        </w:rPr>
        <w:t xml:space="preserve">, experience suggests that further clarification on the scope and application of </w:t>
      </w:r>
      <w:r w:rsidR="00F50894" w:rsidRPr="00D1183D">
        <w:rPr>
          <w:noProof/>
        </w:rPr>
        <w:t>ex</w:t>
      </w:r>
      <w:r w:rsidR="00B4096F">
        <w:rPr>
          <w:noProof/>
        </w:rPr>
        <w:t>ce</w:t>
      </w:r>
      <w:r w:rsidR="00F50894" w:rsidRPr="00D1183D">
        <w:rPr>
          <w:noProof/>
        </w:rPr>
        <w:t>ptions</w:t>
      </w:r>
      <w:r w:rsidR="00DA4CB7" w:rsidRPr="00D1183D">
        <w:rPr>
          <w:noProof/>
        </w:rPr>
        <w:t xml:space="preserve"> may enhance their effectiveness. </w:t>
      </w:r>
    </w:p>
    <w:p w14:paraId="1B22B8EF" w14:textId="02694E03" w:rsidR="00DA4CB7" w:rsidRPr="00D1183D" w:rsidRDefault="00DA4CB7" w:rsidP="004A1922">
      <w:pPr>
        <w:rPr>
          <w:noProof/>
        </w:rPr>
      </w:pPr>
      <w:r w:rsidRPr="00D1183D">
        <w:rPr>
          <w:noProof/>
        </w:rPr>
        <w:t xml:space="preserve">At the same time, </w:t>
      </w:r>
      <w:r w:rsidR="003C7F5B" w:rsidRPr="00D1183D">
        <w:rPr>
          <w:noProof/>
        </w:rPr>
        <w:t xml:space="preserve">early enforcement experience highlights </w:t>
      </w:r>
      <w:r w:rsidR="003C7F5B" w:rsidRPr="00D1183D" w:rsidDel="00F50894">
        <w:rPr>
          <w:noProof/>
        </w:rPr>
        <w:t xml:space="preserve">a </w:t>
      </w:r>
      <w:r w:rsidR="00F50894" w:rsidRPr="00D1183D">
        <w:rPr>
          <w:noProof/>
        </w:rPr>
        <w:t>few</w:t>
      </w:r>
      <w:r w:rsidR="003C7F5B" w:rsidRPr="00D1183D">
        <w:rPr>
          <w:noProof/>
        </w:rPr>
        <w:t xml:space="preserve"> challenges that contribute to </w:t>
      </w:r>
      <w:r w:rsidR="00105EC4">
        <w:rPr>
          <w:noProof/>
        </w:rPr>
        <w:t>the</w:t>
      </w:r>
      <w:r w:rsidR="003C7F5B" w:rsidRPr="00D1183D">
        <w:rPr>
          <w:noProof/>
        </w:rPr>
        <w:t xml:space="preserve"> administrative burden for notifying parties. </w:t>
      </w:r>
      <w:r w:rsidR="003C6FE8">
        <w:rPr>
          <w:noProof/>
        </w:rPr>
        <w:t>Two</w:t>
      </w:r>
      <w:r w:rsidR="003C7F5B" w:rsidRPr="00D1183D">
        <w:rPr>
          <w:noProof/>
        </w:rPr>
        <w:t xml:space="preserve"> main areas can be identified.</w:t>
      </w:r>
    </w:p>
    <w:p w14:paraId="7A1C8E1C" w14:textId="35A462EF" w:rsidR="003C7F5B" w:rsidRPr="00D1183D" w:rsidRDefault="003C7F5B" w:rsidP="004A1922">
      <w:pPr>
        <w:rPr>
          <w:noProof/>
        </w:rPr>
      </w:pPr>
      <w:r w:rsidRPr="00D1183D">
        <w:rPr>
          <w:noProof/>
        </w:rPr>
        <w:t xml:space="preserve">First, the </w:t>
      </w:r>
      <w:bookmarkStart w:id="95" w:name="_Hlk231830409"/>
      <w:r w:rsidRPr="00D1183D">
        <w:rPr>
          <w:noProof/>
        </w:rPr>
        <w:t xml:space="preserve">identification, collection and </w:t>
      </w:r>
      <w:r w:rsidR="001C3808">
        <w:rPr>
          <w:noProof/>
        </w:rPr>
        <w:t>reporting</w:t>
      </w:r>
      <w:r w:rsidRPr="00D1183D">
        <w:rPr>
          <w:noProof/>
        </w:rPr>
        <w:t xml:space="preserve"> of FFC</w:t>
      </w:r>
      <w:bookmarkEnd w:id="95"/>
      <w:r w:rsidRPr="00D1183D">
        <w:rPr>
          <w:noProof/>
        </w:rPr>
        <w:t xml:space="preserve">s is </w:t>
      </w:r>
      <w:r w:rsidR="00F50894" w:rsidRPr="00D1183D">
        <w:rPr>
          <w:noProof/>
        </w:rPr>
        <w:t xml:space="preserve">perceived as </w:t>
      </w:r>
      <w:r w:rsidRPr="00D1183D">
        <w:rPr>
          <w:noProof/>
        </w:rPr>
        <w:t xml:space="preserve">resource </w:t>
      </w:r>
      <w:r w:rsidR="00F50894" w:rsidRPr="00D1183D">
        <w:rPr>
          <w:noProof/>
        </w:rPr>
        <w:t>intensive</w:t>
      </w:r>
      <w:r w:rsidRPr="00D1183D">
        <w:rPr>
          <w:noProof/>
        </w:rPr>
        <w:t xml:space="preserve">. The breadth of the concept </w:t>
      </w:r>
      <w:r w:rsidR="00F50894" w:rsidRPr="00D1183D">
        <w:rPr>
          <w:noProof/>
        </w:rPr>
        <w:t>o</w:t>
      </w:r>
      <w:r w:rsidRPr="00D1183D">
        <w:rPr>
          <w:noProof/>
        </w:rPr>
        <w:t xml:space="preserve">f FFC, combined with the volume of information required, necessitate internal data gathering exercises. </w:t>
      </w:r>
      <w:r w:rsidR="003C6FE8">
        <w:rPr>
          <w:noProof/>
        </w:rPr>
        <w:t>Related to that,</w:t>
      </w:r>
      <w:r w:rsidRPr="00D1183D" w:rsidDel="007D3298">
        <w:rPr>
          <w:noProof/>
        </w:rPr>
        <w:t xml:space="preserve"> </w:t>
      </w:r>
      <w:bookmarkStart w:id="96" w:name="_Hlk231830688"/>
      <w:r w:rsidRPr="00D1183D">
        <w:rPr>
          <w:noProof/>
        </w:rPr>
        <w:t xml:space="preserve">the scope and level of detail of information required </w:t>
      </w:r>
      <w:r w:rsidR="0023745B">
        <w:rPr>
          <w:noProof/>
        </w:rPr>
        <w:t>by</w:t>
      </w:r>
      <w:r w:rsidRPr="00E6306E">
        <w:rPr>
          <w:noProof/>
        </w:rPr>
        <w:t xml:space="preserve"> notification forms and subsequent information requests</w:t>
      </w:r>
      <w:bookmarkEnd w:id="96"/>
      <w:r w:rsidRPr="00E6306E">
        <w:rPr>
          <w:noProof/>
        </w:rPr>
        <w:t xml:space="preserve"> can place a </w:t>
      </w:r>
      <w:r w:rsidR="00105EC4">
        <w:rPr>
          <w:noProof/>
        </w:rPr>
        <w:t>not in</w:t>
      </w:r>
      <w:r w:rsidRPr="00E6306E">
        <w:rPr>
          <w:noProof/>
        </w:rPr>
        <w:t>significant burden on notifying parties.</w:t>
      </w:r>
      <w:r w:rsidRPr="00D1183D">
        <w:rPr>
          <w:noProof/>
        </w:rPr>
        <w:t xml:space="preserve"> </w:t>
      </w:r>
    </w:p>
    <w:p w14:paraId="75A09D75" w14:textId="7E7431ED" w:rsidR="003C7F5B" w:rsidRPr="00D1183D" w:rsidRDefault="003C6FE8" w:rsidP="004A1922">
      <w:pPr>
        <w:rPr>
          <w:noProof/>
        </w:rPr>
      </w:pPr>
      <w:r>
        <w:rPr>
          <w:noProof/>
        </w:rPr>
        <w:t>Second</w:t>
      </w:r>
      <w:r w:rsidR="003C7F5B" w:rsidRPr="00D1183D">
        <w:rPr>
          <w:noProof/>
        </w:rPr>
        <w:t xml:space="preserve">, </w:t>
      </w:r>
      <w:bookmarkStart w:id="97" w:name="_Hlk231830503"/>
      <w:r w:rsidR="003C7F5B" w:rsidRPr="00D1183D">
        <w:rPr>
          <w:noProof/>
        </w:rPr>
        <w:t xml:space="preserve">uncertainty linked to the possibility of call-in below notification thresholds </w:t>
      </w:r>
      <w:bookmarkEnd w:id="97"/>
      <w:r w:rsidR="00AD5D74">
        <w:rPr>
          <w:noProof/>
        </w:rPr>
        <w:t>is</w:t>
      </w:r>
      <w:r w:rsidR="00CB0267">
        <w:rPr>
          <w:noProof/>
        </w:rPr>
        <w:t xml:space="preserve"> said to</w:t>
      </w:r>
      <w:r w:rsidR="003C7F5B" w:rsidRPr="00D1183D">
        <w:rPr>
          <w:noProof/>
        </w:rPr>
        <w:t xml:space="preserve"> affect transaction planning and risk assessment</w:t>
      </w:r>
      <w:r w:rsidR="00AD5D74">
        <w:rPr>
          <w:noProof/>
        </w:rPr>
        <w:t>.</w:t>
      </w:r>
      <w:r w:rsidR="00802E2E">
        <w:rPr>
          <w:noProof/>
        </w:rPr>
        <w:t xml:space="preserve"> </w:t>
      </w:r>
      <w:r w:rsidR="003C7F5B" w:rsidRPr="00D1183D">
        <w:rPr>
          <w:noProof/>
        </w:rPr>
        <w:t xml:space="preserve">While call-in powers are an important </w:t>
      </w:r>
      <w:r w:rsidR="001742DA" w:rsidRPr="00D1183D">
        <w:rPr>
          <w:noProof/>
        </w:rPr>
        <w:t>safeguard</w:t>
      </w:r>
      <w:r w:rsidR="003C7F5B" w:rsidRPr="00D1183D">
        <w:rPr>
          <w:noProof/>
        </w:rPr>
        <w:t xml:space="preserve">, </w:t>
      </w:r>
      <w:r w:rsidR="008604C5" w:rsidRPr="00D1183D">
        <w:rPr>
          <w:noProof/>
        </w:rPr>
        <w:t xml:space="preserve">their breadth </w:t>
      </w:r>
      <w:r w:rsidR="008604C5">
        <w:rPr>
          <w:noProof/>
        </w:rPr>
        <w:t>is claimed to</w:t>
      </w:r>
      <w:r w:rsidR="008604C5" w:rsidRPr="00D1183D">
        <w:rPr>
          <w:noProof/>
        </w:rPr>
        <w:t xml:space="preserve"> have a deterrent effect in certain situations</w:t>
      </w:r>
      <w:r w:rsidR="008604C5">
        <w:rPr>
          <w:noProof/>
        </w:rPr>
        <w:t xml:space="preserve">, </w:t>
      </w:r>
      <w:r w:rsidR="007345F2">
        <w:rPr>
          <w:noProof/>
        </w:rPr>
        <w:t xml:space="preserve">which </w:t>
      </w:r>
      <w:r w:rsidR="003C7F5B" w:rsidRPr="00D1183D">
        <w:rPr>
          <w:noProof/>
        </w:rPr>
        <w:t>undersco</w:t>
      </w:r>
      <w:r w:rsidR="007345F2">
        <w:rPr>
          <w:noProof/>
        </w:rPr>
        <w:t>re</w:t>
      </w:r>
      <w:r w:rsidR="003C7F5B" w:rsidRPr="00D1183D">
        <w:rPr>
          <w:noProof/>
        </w:rPr>
        <w:t xml:space="preserve"> the importance of transparency and predictability</w:t>
      </w:r>
      <w:r w:rsidR="00DE0D00">
        <w:rPr>
          <w:noProof/>
        </w:rPr>
        <w:t xml:space="preserve"> in the criteria </w:t>
      </w:r>
      <w:r w:rsidR="007345F2">
        <w:rPr>
          <w:noProof/>
        </w:rPr>
        <w:t xml:space="preserve">used </w:t>
      </w:r>
      <w:r w:rsidR="00DE0D00">
        <w:rPr>
          <w:noProof/>
        </w:rPr>
        <w:t>for</w:t>
      </w:r>
      <w:r w:rsidR="003C7F5B" w:rsidRPr="00D1183D">
        <w:rPr>
          <w:noProof/>
        </w:rPr>
        <w:t xml:space="preserve"> their application.</w:t>
      </w:r>
      <w:r w:rsidR="006265CA" w:rsidRPr="00D1183D">
        <w:rPr>
          <w:noProof/>
        </w:rPr>
        <w:t xml:space="preserve"> </w:t>
      </w:r>
    </w:p>
    <w:p w14:paraId="4BA8EC60" w14:textId="51E28FAF" w:rsidR="001742DA" w:rsidRDefault="001742DA" w:rsidP="004A1922">
      <w:pPr>
        <w:rPr>
          <w:noProof/>
        </w:rPr>
      </w:pPr>
      <w:r w:rsidRPr="00D1183D">
        <w:rPr>
          <w:noProof/>
        </w:rPr>
        <w:t xml:space="preserve">With respect to the last point, it should be recalled that the recently adopted FSR Guidelines provide additional clarity and transparency </w:t>
      </w:r>
      <w:r w:rsidR="007345F2">
        <w:rPr>
          <w:noProof/>
        </w:rPr>
        <w:t>about</w:t>
      </w:r>
      <w:r w:rsidR="007345F2" w:rsidRPr="00D1183D">
        <w:rPr>
          <w:noProof/>
        </w:rPr>
        <w:t xml:space="preserve"> </w:t>
      </w:r>
      <w:r w:rsidRPr="00D1183D">
        <w:rPr>
          <w:noProof/>
        </w:rPr>
        <w:t xml:space="preserve">the legal requirements and considerations taken by the Commission when assessing whether to request prior notification. In addition, the </w:t>
      </w:r>
      <w:r w:rsidR="00377C8C">
        <w:rPr>
          <w:noProof/>
        </w:rPr>
        <w:t xml:space="preserve">future </w:t>
      </w:r>
      <w:r w:rsidRPr="00D1183D">
        <w:rPr>
          <w:noProof/>
        </w:rPr>
        <w:t xml:space="preserve">exercise of the </w:t>
      </w:r>
      <w:r w:rsidR="00377C8C">
        <w:rPr>
          <w:noProof/>
        </w:rPr>
        <w:t xml:space="preserve">call-in </w:t>
      </w:r>
      <w:r w:rsidRPr="00D1183D">
        <w:rPr>
          <w:noProof/>
        </w:rPr>
        <w:t xml:space="preserve">powers in </w:t>
      </w:r>
      <w:r w:rsidR="00AC7094">
        <w:rPr>
          <w:noProof/>
        </w:rPr>
        <w:t>specific</w:t>
      </w:r>
      <w:r w:rsidR="00AC7094" w:rsidRPr="00D1183D">
        <w:rPr>
          <w:noProof/>
        </w:rPr>
        <w:t xml:space="preserve"> </w:t>
      </w:r>
      <w:r w:rsidRPr="00D1183D">
        <w:rPr>
          <w:noProof/>
        </w:rPr>
        <w:t xml:space="preserve">cases </w:t>
      </w:r>
      <w:r w:rsidR="00377C8C">
        <w:rPr>
          <w:noProof/>
        </w:rPr>
        <w:t>will also</w:t>
      </w:r>
      <w:r w:rsidRPr="00D1183D">
        <w:rPr>
          <w:noProof/>
        </w:rPr>
        <w:t xml:space="preserve"> provide more clarity and reduce legal uncertainty with respect to th</w:t>
      </w:r>
      <w:r w:rsidR="00377C8C">
        <w:rPr>
          <w:noProof/>
        </w:rPr>
        <w:t>os</w:t>
      </w:r>
      <w:r w:rsidRPr="00D1183D">
        <w:rPr>
          <w:noProof/>
        </w:rPr>
        <w:t xml:space="preserve">e powers. </w:t>
      </w:r>
    </w:p>
    <w:p w14:paraId="2F2E2A8A" w14:textId="6FD3DE31" w:rsidR="00AD5D74" w:rsidRDefault="00AD5D74" w:rsidP="004A1922">
      <w:pPr>
        <w:rPr>
          <w:noProof/>
        </w:rPr>
      </w:pPr>
      <w:r>
        <w:rPr>
          <w:noProof/>
        </w:rPr>
        <w:t>With respect to the FFC reporting thresholds set out in the FSIR, the two</w:t>
      </w:r>
      <w:r w:rsidR="006A1E49">
        <w:rPr>
          <w:noProof/>
        </w:rPr>
        <w:t>-</w:t>
      </w:r>
      <w:r>
        <w:rPr>
          <w:noProof/>
        </w:rPr>
        <w:t xml:space="preserve">limbed approach to reporting should be preserved, as it appropriately distinguishes between the more detailed information required for FFCs that may fall under </w:t>
      </w:r>
      <w:r w:rsidR="00AC7094">
        <w:rPr>
          <w:noProof/>
        </w:rPr>
        <w:t>Article </w:t>
      </w:r>
      <w:r>
        <w:rPr>
          <w:noProof/>
        </w:rPr>
        <w:t xml:space="preserve">5 FSR and the more aggregate reporting of other FFCs. However, the experience gathered so far suggests that the current reporting thresholds – </w:t>
      </w:r>
      <w:r w:rsidR="00AC7094">
        <w:rPr>
          <w:noProof/>
        </w:rPr>
        <w:t>EUR </w:t>
      </w:r>
      <w:r>
        <w:rPr>
          <w:noProof/>
        </w:rPr>
        <w:t xml:space="preserve">1 million per individual FFC and </w:t>
      </w:r>
      <w:r w:rsidR="00AC7094">
        <w:rPr>
          <w:noProof/>
        </w:rPr>
        <w:t>EUR </w:t>
      </w:r>
      <w:r>
        <w:rPr>
          <w:noProof/>
        </w:rPr>
        <w:t>45 million per third country</w:t>
      </w:r>
      <w:r w:rsidR="008F1AFD">
        <w:rPr>
          <w:noProof/>
        </w:rPr>
        <w:t xml:space="preserve"> –</w:t>
      </w:r>
      <w:r>
        <w:rPr>
          <w:noProof/>
        </w:rPr>
        <w:t xml:space="preserve"> </w:t>
      </w:r>
      <w:r w:rsidR="008F1AFD">
        <w:rPr>
          <w:noProof/>
        </w:rPr>
        <w:t>might</w:t>
      </w:r>
      <w:r>
        <w:rPr>
          <w:noProof/>
        </w:rPr>
        <w:t xml:space="preserve"> capture</w:t>
      </w:r>
      <w:r w:rsidR="007345F2">
        <w:rPr>
          <w:noProof/>
        </w:rPr>
        <w:t xml:space="preserve"> a</w:t>
      </w:r>
      <w:r>
        <w:rPr>
          <w:noProof/>
        </w:rPr>
        <w:t xml:space="preserve"> significant volume of information that, in </w:t>
      </w:r>
      <w:r w:rsidR="007345F2">
        <w:rPr>
          <w:noProof/>
        </w:rPr>
        <w:t xml:space="preserve">most </w:t>
      </w:r>
      <w:r>
        <w:rPr>
          <w:noProof/>
        </w:rPr>
        <w:t xml:space="preserve">cases, has not proven </w:t>
      </w:r>
      <w:r w:rsidR="00403C8C">
        <w:rPr>
          <w:noProof/>
        </w:rPr>
        <w:t>particularly</w:t>
      </w:r>
      <w:r w:rsidR="007C2F60">
        <w:rPr>
          <w:noProof/>
        </w:rPr>
        <w:t xml:space="preserve"> </w:t>
      </w:r>
      <w:r>
        <w:rPr>
          <w:noProof/>
        </w:rPr>
        <w:t>relevant to identifying a risk of distortion.</w:t>
      </w:r>
    </w:p>
    <w:p w14:paraId="57234A57" w14:textId="24B99B06" w:rsidR="003B1B95" w:rsidRPr="00EE757A" w:rsidRDefault="00E3106A" w:rsidP="00C31F8E">
      <w:pPr>
        <w:pStyle w:val="Heading3"/>
        <w:rPr>
          <w:noProof/>
        </w:rPr>
      </w:pPr>
      <w:bookmarkStart w:id="98" w:name="_Toc234227874"/>
      <w:bookmarkStart w:id="99" w:name="_Ref227930633"/>
      <w:r w:rsidRPr="00EE757A">
        <w:rPr>
          <w:noProof/>
        </w:rPr>
        <w:t xml:space="preserve">Submissions in </w:t>
      </w:r>
      <w:r w:rsidR="007B3463" w:rsidRPr="00EE757A">
        <w:rPr>
          <w:noProof/>
        </w:rPr>
        <w:t>public procurement procedures</w:t>
      </w:r>
      <w:bookmarkEnd w:id="98"/>
      <w:r w:rsidR="007B3463" w:rsidRPr="00EE757A">
        <w:rPr>
          <w:noProof/>
        </w:rPr>
        <w:t xml:space="preserve"> </w:t>
      </w:r>
      <w:bookmarkEnd w:id="99"/>
    </w:p>
    <w:p w14:paraId="3836C10E" w14:textId="7C1B3D17" w:rsidR="00C31F8E" w:rsidRPr="00B37B09" w:rsidRDefault="00C31F8E" w:rsidP="00C31F8E">
      <w:pPr>
        <w:spacing w:after="240"/>
        <w:rPr>
          <w:noProof/>
          <w:color w:val="000000"/>
          <w:lang w:eastAsia="en-IE"/>
        </w:rPr>
      </w:pPr>
      <w:r w:rsidRPr="00B37B09">
        <w:rPr>
          <w:noProof/>
          <w:color w:val="000000"/>
          <w:lang w:eastAsia="en-IE"/>
        </w:rPr>
        <w:t xml:space="preserve">Between 13 October 2023, when </w:t>
      </w:r>
      <w:r w:rsidR="00AC7094" w:rsidRPr="00B37B09">
        <w:rPr>
          <w:noProof/>
          <w:color w:val="000000"/>
          <w:lang w:eastAsia="en-IE"/>
        </w:rPr>
        <w:t>Article</w:t>
      </w:r>
      <w:r w:rsidR="00AC7094">
        <w:rPr>
          <w:noProof/>
          <w:color w:val="000000"/>
          <w:lang w:eastAsia="en-IE"/>
        </w:rPr>
        <w:t> </w:t>
      </w:r>
      <w:r w:rsidRPr="00B37B09">
        <w:rPr>
          <w:noProof/>
          <w:color w:val="000000"/>
          <w:lang w:eastAsia="en-IE"/>
        </w:rPr>
        <w:t xml:space="preserve">29 FSR started to apply, and </w:t>
      </w:r>
      <w:r w:rsidR="00EE757A" w:rsidRPr="005F1BD2">
        <w:rPr>
          <w:noProof/>
          <w:color w:val="000000"/>
          <w:lang w:eastAsia="en-IE"/>
        </w:rPr>
        <w:t>3</w:t>
      </w:r>
      <w:r w:rsidR="009E453D" w:rsidRPr="005F1BD2">
        <w:rPr>
          <w:noProof/>
          <w:color w:val="000000"/>
          <w:lang w:eastAsia="en-IE"/>
        </w:rPr>
        <w:t>1</w:t>
      </w:r>
      <w:r w:rsidR="00EE757A" w:rsidRPr="0070548A">
        <w:rPr>
          <w:noProof/>
          <w:color w:val="000000"/>
          <w:lang w:eastAsia="en-IE"/>
        </w:rPr>
        <w:t xml:space="preserve"> </w:t>
      </w:r>
      <w:r w:rsidR="009E453D" w:rsidRPr="005F1BD2">
        <w:rPr>
          <w:noProof/>
          <w:color w:val="000000"/>
          <w:lang w:eastAsia="en-IE"/>
        </w:rPr>
        <w:t>May</w:t>
      </w:r>
      <w:r w:rsidRPr="0070548A">
        <w:rPr>
          <w:noProof/>
          <w:color w:val="000000"/>
          <w:lang w:eastAsia="en-IE"/>
        </w:rPr>
        <w:t xml:space="preserve"> 2026</w:t>
      </w:r>
      <w:r w:rsidRPr="005E50E7">
        <w:rPr>
          <w:noProof/>
          <w:color w:val="000000"/>
          <w:lang w:eastAsia="en-IE"/>
        </w:rPr>
        <w:t xml:space="preserve">, in the public procurement module of the FSR, the Commission received </w:t>
      </w:r>
      <w:r w:rsidR="007A0FD6">
        <w:rPr>
          <w:noProof/>
          <w:color w:val="000000"/>
          <w:lang w:eastAsia="en-IE"/>
        </w:rPr>
        <w:t>5 150</w:t>
      </w:r>
      <w:r w:rsidR="007A0FD6" w:rsidRPr="005E50E7">
        <w:rPr>
          <w:noProof/>
          <w:color w:val="000000"/>
          <w:lang w:eastAsia="en-IE"/>
        </w:rPr>
        <w:t xml:space="preserve"> </w:t>
      </w:r>
      <w:r w:rsidRPr="005E50E7">
        <w:rPr>
          <w:noProof/>
          <w:color w:val="000000"/>
          <w:lang w:eastAsia="en-IE"/>
        </w:rPr>
        <w:t>submissions from economic operators</w:t>
      </w:r>
      <w:r w:rsidR="007D3298" w:rsidRPr="005E50E7">
        <w:rPr>
          <w:noProof/>
          <w:color w:val="000000"/>
          <w:lang w:eastAsia="en-IE"/>
        </w:rPr>
        <w:t>.</w:t>
      </w:r>
      <w:r w:rsidRPr="005E50E7">
        <w:rPr>
          <w:noProof/>
          <w:color w:val="000000"/>
          <w:lang w:eastAsia="en-IE"/>
        </w:rPr>
        <w:t xml:space="preserve"> These submissions originated from </w:t>
      </w:r>
      <w:r w:rsidR="001D228F" w:rsidRPr="007159C4">
        <w:rPr>
          <w:noProof/>
          <w:color w:val="000000"/>
          <w:lang w:eastAsia="en-IE"/>
        </w:rPr>
        <w:t>8</w:t>
      </w:r>
      <w:r w:rsidR="007A0FD6">
        <w:rPr>
          <w:noProof/>
          <w:color w:val="000000"/>
          <w:lang w:eastAsia="en-IE"/>
        </w:rPr>
        <w:t>63</w:t>
      </w:r>
      <w:r w:rsidR="001D228F" w:rsidRPr="005E50E7">
        <w:rPr>
          <w:noProof/>
          <w:color w:val="000000"/>
          <w:lang w:eastAsia="en-IE"/>
        </w:rPr>
        <w:t xml:space="preserve"> </w:t>
      </w:r>
      <w:r w:rsidRPr="005E50E7">
        <w:rPr>
          <w:noProof/>
          <w:color w:val="000000"/>
          <w:lang w:eastAsia="en-IE"/>
        </w:rPr>
        <w:t xml:space="preserve">public procurement procedures, representing a total value of over </w:t>
      </w:r>
      <w:r w:rsidR="00AC7094" w:rsidRPr="005E50E7">
        <w:rPr>
          <w:noProof/>
          <w:color w:val="000000"/>
          <w:lang w:eastAsia="en-IE"/>
        </w:rPr>
        <w:t>EUR</w:t>
      </w:r>
      <w:r w:rsidR="00AC7094">
        <w:rPr>
          <w:noProof/>
          <w:color w:val="000000"/>
          <w:lang w:eastAsia="en-IE"/>
        </w:rPr>
        <w:t> </w:t>
      </w:r>
      <w:r w:rsidR="007A0FD6">
        <w:rPr>
          <w:noProof/>
          <w:color w:val="000000"/>
          <w:lang w:eastAsia="en-IE"/>
        </w:rPr>
        <w:t>712</w:t>
      </w:r>
      <w:r w:rsidR="007A0FD6" w:rsidRPr="005E50E7">
        <w:rPr>
          <w:noProof/>
          <w:color w:val="000000"/>
          <w:lang w:eastAsia="en-IE"/>
        </w:rPr>
        <w:t xml:space="preserve"> </w:t>
      </w:r>
      <w:r w:rsidRPr="005E50E7">
        <w:rPr>
          <w:noProof/>
          <w:color w:val="000000"/>
          <w:lang w:eastAsia="en-IE"/>
        </w:rPr>
        <w:t>billion.</w:t>
      </w:r>
    </w:p>
    <w:p w14:paraId="2798FBFF" w14:textId="47B80BB7" w:rsidR="00C31F8E" w:rsidRPr="00B37B09" w:rsidRDefault="007345F2" w:rsidP="00C31F8E">
      <w:pPr>
        <w:spacing w:after="240"/>
        <w:rPr>
          <w:noProof/>
          <w:color w:val="000000"/>
          <w:lang w:eastAsia="en-IE"/>
        </w:rPr>
      </w:pPr>
      <w:r>
        <w:rPr>
          <w:noProof/>
          <w:color w:val="000000"/>
          <w:lang w:eastAsia="en-IE"/>
        </w:rPr>
        <w:t xml:space="preserve">The </w:t>
      </w:r>
      <w:r w:rsidR="00C31F8E" w:rsidRPr="00B37B09">
        <w:rPr>
          <w:noProof/>
          <w:color w:val="000000"/>
          <w:lang w:eastAsia="en-IE"/>
        </w:rPr>
        <w:t>submissions received</w:t>
      </w:r>
      <w:r>
        <w:rPr>
          <w:noProof/>
          <w:color w:val="000000"/>
          <w:lang w:eastAsia="en-IE"/>
        </w:rPr>
        <w:t xml:space="preserve"> </w:t>
      </w:r>
      <w:r w:rsidR="004A4480">
        <w:rPr>
          <w:noProof/>
          <w:color w:val="000000"/>
          <w:lang w:eastAsia="en-IE"/>
        </w:rPr>
        <w:t>by</w:t>
      </w:r>
      <w:r>
        <w:rPr>
          <w:noProof/>
          <w:color w:val="000000"/>
          <w:lang w:eastAsia="en-IE"/>
        </w:rPr>
        <w:t xml:space="preserve"> </w:t>
      </w:r>
      <w:r w:rsidRPr="00B37B09">
        <w:rPr>
          <w:noProof/>
          <w:color w:val="000000"/>
          <w:lang w:eastAsia="en-IE"/>
        </w:rPr>
        <w:t>the Commission</w:t>
      </w:r>
      <w:r>
        <w:rPr>
          <w:noProof/>
          <w:color w:val="000000"/>
          <w:lang w:eastAsia="en-IE"/>
        </w:rPr>
        <w:t xml:space="preserve"> can be broken down to</w:t>
      </w:r>
      <w:r w:rsidR="00C31F8E" w:rsidRPr="00B37B09">
        <w:rPr>
          <w:noProof/>
          <w:color w:val="000000"/>
          <w:lang w:eastAsia="en-IE"/>
        </w:rPr>
        <w:t>:</w:t>
      </w:r>
    </w:p>
    <w:p w14:paraId="33082B2C" w14:textId="0332E50C" w:rsidR="00C31F8E" w:rsidRPr="007159C4" w:rsidRDefault="00DE047E" w:rsidP="00C31F8E">
      <w:pPr>
        <w:numPr>
          <w:ilvl w:val="0"/>
          <w:numId w:val="188"/>
        </w:numPr>
        <w:spacing w:after="240" w:line="259" w:lineRule="auto"/>
        <w:jc w:val="left"/>
        <w:rPr>
          <w:noProof/>
          <w:color w:val="000000"/>
          <w:lang w:eastAsia="en-IE"/>
        </w:rPr>
      </w:pPr>
      <w:r w:rsidRPr="005F1BD2">
        <w:rPr>
          <w:noProof/>
          <w:color w:val="000000"/>
          <w:lang w:eastAsia="en-IE"/>
        </w:rPr>
        <w:t>4</w:t>
      </w:r>
      <w:r w:rsidR="0053005A" w:rsidRPr="005F1BD2">
        <w:rPr>
          <w:noProof/>
          <w:color w:val="000000"/>
          <w:lang w:eastAsia="en-IE"/>
        </w:rPr>
        <w:t> </w:t>
      </w:r>
      <w:r w:rsidR="003F761F" w:rsidRPr="005F1BD2">
        <w:rPr>
          <w:noProof/>
          <w:color w:val="000000"/>
          <w:lang w:eastAsia="en-IE"/>
        </w:rPr>
        <w:t>2</w:t>
      </w:r>
      <w:r w:rsidR="007A0FD6" w:rsidRPr="005F1BD2">
        <w:rPr>
          <w:noProof/>
          <w:color w:val="000000"/>
          <w:lang w:eastAsia="en-IE"/>
        </w:rPr>
        <w:t>93</w:t>
      </w:r>
      <w:r w:rsidRPr="007159C4">
        <w:rPr>
          <w:noProof/>
          <w:color w:val="000000"/>
          <w:lang w:eastAsia="en-IE"/>
        </w:rPr>
        <w:t xml:space="preserve"> </w:t>
      </w:r>
      <w:r w:rsidR="00C31F8E" w:rsidRPr="007159C4">
        <w:rPr>
          <w:noProof/>
          <w:color w:val="000000"/>
          <w:lang w:eastAsia="en-IE"/>
        </w:rPr>
        <w:t>declarations (8</w:t>
      </w:r>
      <w:r w:rsidR="00443F1C" w:rsidRPr="007159C4">
        <w:rPr>
          <w:noProof/>
          <w:color w:val="000000"/>
          <w:lang w:eastAsia="en-IE"/>
        </w:rPr>
        <w:t>3</w:t>
      </w:r>
      <w:r w:rsidR="003F761F" w:rsidRPr="007159C4">
        <w:rPr>
          <w:noProof/>
          <w:color w:val="000000"/>
          <w:lang w:eastAsia="en-IE"/>
        </w:rPr>
        <w:t>.</w:t>
      </w:r>
      <w:r w:rsidR="0012127C" w:rsidRPr="005F1BD2">
        <w:rPr>
          <w:noProof/>
          <w:color w:val="000000"/>
          <w:lang w:eastAsia="en-IE"/>
        </w:rPr>
        <w:t>4</w:t>
      </w:r>
      <w:r w:rsidR="00C31F8E" w:rsidRPr="007159C4">
        <w:rPr>
          <w:noProof/>
          <w:color w:val="000000"/>
          <w:lang w:eastAsia="en-IE"/>
        </w:rPr>
        <w:t>% of the cases</w:t>
      </w:r>
      <w:r w:rsidR="00C31F8E" w:rsidRPr="005F1BD2">
        <w:rPr>
          <w:noProof/>
          <w:color w:val="000000"/>
          <w:lang w:eastAsia="en-IE"/>
        </w:rPr>
        <w:t>)</w:t>
      </w:r>
      <w:r w:rsidR="00AC7094">
        <w:rPr>
          <w:noProof/>
          <w:color w:val="000000"/>
          <w:lang w:eastAsia="en-IE"/>
        </w:rPr>
        <w:t>,</w:t>
      </w:r>
    </w:p>
    <w:p w14:paraId="5B6D000A" w14:textId="378B457D" w:rsidR="00C31F8E" w:rsidRPr="007159C4" w:rsidRDefault="007A0FD6" w:rsidP="00C31F8E">
      <w:pPr>
        <w:numPr>
          <w:ilvl w:val="0"/>
          <w:numId w:val="188"/>
        </w:numPr>
        <w:spacing w:after="240" w:line="259" w:lineRule="auto"/>
        <w:jc w:val="left"/>
        <w:rPr>
          <w:noProof/>
          <w:color w:val="000000"/>
          <w:lang w:eastAsia="en-IE"/>
        </w:rPr>
      </w:pPr>
      <w:r w:rsidRPr="005F1BD2">
        <w:rPr>
          <w:noProof/>
          <w:color w:val="000000"/>
          <w:lang w:eastAsia="en-IE"/>
        </w:rPr>
        <w:t>733</w:t>
      </w:r>
      <w:r w:rsidR="00DE047E" w:rsidRPr="007159C4">
        <w:rPr>
          <w:noProof/>
          <w:color w:val="000000"/>
          <w:lang w:eastAsia="en-IE"/>
        </w:rPr>
        <w:t xml:space="preserve"> </w:t>
      </w:r>
      <w:r w:rsidR="00C31F8E" w:rsidRPr="007159C4">
        <w:rPr>
          <w:noProof/>
          <w:color w:val="000000"/>
          <w:lang w:eastAsia="en-IE"/>
        </w:rPr>
        <w:t>notifications (1</w:t>
      </w:r>
      <w:r w:rsidR="00DE047E" w:rsidRPr="007159C4">
        <w:rPr>
          <w:noProof/>
          <w:color w:val="000000"/>
          <w:lang w:eastAsia="en-IE"/>
        </w:rPr>
        <w:t>4</w:t>
      </w:r>
      <w:r w:rsidR="0012127C" w:rsidRPr="005F1BD2">
        <w:rPr>
          <w:noProof/>
          <w:color w:val="000000"/>
          <w:lang w:eastAsia="en-IE"/>
        </w:rPr>
        <w:t>.2</w:t>
      </w:r>
      <w:r w:rsidR="00C31F8E" w:rsidRPr="007159C4">
        <w:rPr>
          <w:noProof/>
          <w:color w:val="000000"/>
          <w:lang w:eastAsia="en-IE"/>
        </w:rPr>
        <w:t>% of the cases</w:t>
      </w:r>
      <w:r w:rsidR="00C31F8E" w:rsidRPr="005F1BD2">
        <w:rPr>
          <w:noProof/>
          <w:color w:val="000000"/>
          <w:lang w:eastAsia="en-IE"/>
        </w:rPr>
        <w:t>)</w:t>
      </w:r>
      <w:r w:rsidR="007345F2" w:rsidRPr="005F1BD2">
        <w:rPr>
          <w:noProof/>
          <w:color w:val="000000"/>
          <w:lang w:eastAsia="en-IE"/>
        </w:rPr>
        <w:t>,</w:t>
      </w:r>
      <w:r w:rsidR="00C31F8E" w:rsidRPr="007159C4">
        <w:rPr>
          <w:noProof/>
          <w:color w:val="000000"/>
          <w:lang w:eastAsia="en-IE"/>
        </w:rPr>
        <w:t xml:space="preserve"> and</w:t>
      </w:r>
    </w:p>
    <w:p w14:paraId="7FA75D4A" w14:textId="5A8D9544" w:rsidR="00C31F8E" w:rsidRPr="007159C4" w:rsidRDefault="00DE047E" w:rsidP="00C31F8E">
      <w:pPr>
        <w:numPr>
          <w:ilvl w:val="0"/>
          <w:numId w:val="188"/>
        </w:numPr>
        <w:spacing w:after="240" w:line="259" w:lineRule="auto"/>
        <w:jc w:val="left"/>
        <w:rPr>
          <w:noProof/>
          <w:color w:val="000000"/>
          <w:lang w:eastAsia="en-IE"/>
        </w:rPr>
      </w:pPr>
      <w:r w:rsidRPr="005F1BD2">
        <w:rPr>
          <w:noProof/>
          <w:color w:val="000000"/>
          <w:lang w:eastAsia="en-IE"/>
        </w:rPr>
        <w:t>1</w:t>
      </w:r>
      <w:r w:rsidR="007A0FD6" w:rsidRPr="005F1BD2">
        <w:rPr>
          <w:noProof/>
          <w:color w:val="000000"/>
          <w:lang w:eastAsia="en-IE"/>
        </w:rPr>
        <w:t>24</w:t>
      </w:r>
      <w:r w:rsidRPr="007159C4">
        <w:rPr>
          <w:noProof/>
          <w:color w:val="000000"/>
          <w:lang w:eastAsia="en-IE"/>
        </w:rPr>
        <w:t xml:space="preserve"> </w:t>
      </w:r>
      <w:r w:rsidR="00C31F8E" w:rsidRPr="007159C4">
        <w:rPr>
          <w:noProof/>
          <w:color w:val="000000"/>
          <w:lang w:eastAsia="en-IE"/>
        </w:rPr>
        <w:t>pre-notifications (2</w:t>
      </w:r>
      <w:r w:rsidR="003F761F" w:rsidRPr="007159C4">
        <w:rPr>
          <w:noProof/>
          <w:color w:val="000000"/>
          <w:lang w:eastAsia="en-IE"/>
        </w:rPr>
        <w:t>.</w:t>
      </w:r>
      <w:r w:rsidR="0012127C" w:rsidRPr="005F1BD2">
        <w:rPr>
          <w:noProof/>
          <w:color w:val="000000"/>
          <w:lang w:eastAsia="en-IE"/>
        </w:rPr>
        <w:t>4</w:t>
      </w:r>
      <w:r w:rsidR="00C31F8E" w:rsidRPr="007159C4">
        <w:rPr>
          <w:noProof/>
          <w:color w:val="000000"/>
          <w:lang w:eastAsia="en-IE"/>
        </w:rPr>
        <w:t xml:space="preserve">% of the cases). </w:t>
      </w:r>
    </w:p>
    <w:p w14:paraId="52B2E208" w14:textId="287C3334" w:rsidR="00C31F8E" w:rsidRPr="00836900" w:rsidRDefault="00C31F8E" w:rsidP="00EE757A">
      <w:pPr>
        <w:pStyle w:val="Heading4"/>
        <w:numPr>
          <w:ilvl w:val="3"/>
          <w:numId w:val="195"/>
        </w:numPr>
        <w:rPr>
          <w:rFonts w:eastAsia="Yu Gothic"/>
          <w:noProof/>
        </w:rPr>
      </w:pPr>
      <w:bookmarkStart w:id="100" w:name="_Toc228286484"/>
      <w:bookmarkStart w:id="101" w:name="_Toc234227875"/>
      <w:r w:rsidRPr="00836900">
        <w:rPr>
          <w:rFonts w:eastAsia="Yu Gothic"/>
          <w:noProof/>
        </w:rPr>
        <w:t xml:space="preserve">Information on </w:t>
      </w:r>
      <w:r w:rsidR="00000C63">
        <w:rPr>
          <w:rFonts w:eastAsia="Yu Gothic"/>
          <w:noProof/>
        </w:rPr>
        <w:t>c</w:t>
      </w:r>
      <w:r w:rsidRPr="00836900">
        <w:rPr>
          <w:rFonts w:eastAsia="Yu Gothic"/>
          <w:noProof/>
        </w:rPr>
        <w:t>ases</w:t>
      </w:r>
      <w:bookmarkEnd w:id="100"/>
      <w:bookmarkEnd w:id="101"/>
    </w:p>
    <w:p w14:paraId="33963A61" w14:textId="07D04F31" w:rsidR="00C31F8E" w:rsidRPr="00B37B09" w:rsidRDefault="00000C63" w:rsidP="00C31F8E">
      <w:pPr>
        <w:spacing w:after="160" w:line="259" w:lineRule="auto"/>
        <w:rPr>
          <w:rFonts w:eastAsia="Yu Gothic"/>
          <w:noProof/>
          <w:szCs w:val="24"/>
          <w:lang w:eastAsia="en-IE"/>
        </w:rPr>
      </w:pPr>
      <w:r>
        <w:rPr>
          <w:rFonts w:eastAsia="Yu Gothic"/>
          <w:noProof/>
          <w:szCs w:val="24"/>
          <w:lang w:eastAsia="en-IE"/>
        </w:rPr>
        <w:t>Out of the</w:t>
      </w:r>
      <w:r w:rsidR="00C31F8E" w:rsidRPr="00B37B09" w:rsidDel="00DE047E">
        <w:rPr>
          <w:rFonts w:eastAsia="Yu Gothic"/>
          <w:noProof/>
          <w:szCs w:val="24"/>
          <w:lang w:eastAsia="en-IE"/>
        </w:rPr>
        <w:t xml:space="preserve"> </w:t>
      </w:r>
      <w:r w:rsidR="0012127C">
        <w:rPr>
          <w:rFonts w:eastAsia="Yu Gothic"/>
          <w:noProof/>
          <w:szCs w:val="24"/>
          <w:lang w:eastAsia="en-IE"/>
        </w:rPr>
        <w:t>5</w:t>
      </w:r>
      <w:r w:rsidR="00213DB0">
        <w:rPr>
          <w:rFonts w:eastAsia="Yu Gothic"/>
          <w:noProof/>
          <w:szCs w:val="24"/>
          <w:lang w:eastAsia="en-IE"/>
        </w:rPr>
        <w:t> 150</w:t>
      </w:r>
      <w:r w:rsidR="00C31F8E" w:rsidRPr="00B37B09">
        <w:rPr>
          <w:rFonts w:eastAsia="Yu Gothic"/>
          <w:noProof/>
          <w:szCs w:val="24"/>
          <w:lang w:eastAsia="en-IE"/>
        </w:rPr>
        <w:t xml:space="preserve"> submissions received, the Commission initiated and subsequently closed four in-depth-investigations – </w:t>
      </w:r>
      <w:bookmarkStart w:id="102" w:name="_Hlk228808726"/>
      <w:r w:rsidR="00C31F8E" w:rsidRPr="00B37B09">
        <w:rPr>
          <w:rFonts w:eastAsia="Yu Gothic"/>
          <w:noProof/>
          <w:szCs w:val="24"/>
          <w:lang w:eastAsia="en-IE"/>
        </w:rPr>
        <w:t xml:space="preserve">three of them were closed following the withdrawal of the economic operators </w:t>
      </w:r>
      <w:r w:rsidR="00C865C3">
        <w:rPr>
          <w:rFonts w:eastAsia="Yu Gothic"/>
          <w:noProof/>
          <w:szCs w:val="24"/>
          <w:lang w:eastAsia="en-IE"/>
        </w:rPr>
        <w:t xml:space="preserve">from the public procurement procedure </w:t>
      </w:r>
      <w:r w:rsidR="00C31F8E" w:rsidRPr="00B37B09">
        <w:rPr>
          <w:rFonts w:eastAsia="Yu Gothic"/>
          <w:noProof/>
          <w:szCs w:val="24"/>
          <w:lang w:eastAsia="en-IE"/>
        </w:rPr>
        <w:t>and in one case the Commission took a final decision</w:t>
      </w:r>
      <w:bookmarkEnd w:id="102"/>
      <w:r w:rsidR="00C31F8E" w:rsidRPr="00B37B09">
        <w:rPr>
          <w:rFonts w:eastAsia="Yu Gothic"/>
          <w:noProof/>
          <w:szCs w:val="24"/>
          <w:lang w:eastAsia="en-IE"/>
        </w:rPr>
        <w:t>.</w:t>
      </w:r>
    </w:p>
    <w:p w14:paraId="254A5D2D" w14:textId="46F411B5" w:rsidR="00C31F8E" w:rsidRPr="00B37B09" w:rsidRDefault="00000C63" w:rsidP="00C31F8E">
      <w:pPr>
        <w:spacing w:after="160" w:line="259" w:lineRule="auto"/>
        <w:rPr>
          <w:rFonts w:eastAsia="Yu Gothic"/>
          <w:noProof/>
          <w:szCs w:val="24"/>
          <w:lang w:eastAsia="en-IE"/>
        </w:rPr>
      </w:pPr>
      <w:r>
        <w:rPr>
          <w:rFonts w:eastAsia="Yu Gothic"/>
          <w:noProof/>
          <w:szCs w:val="24"/>
          <w:lang w:eastAsia="en-IE"/>
        </w:rPr>
        <w:t>During that period</w:t>
      </w:r>
      <w:r w:rsidR="00C31F8E" w:rsidRPr="00B37B09">
        <w:rPr>
          <w:rFonts w:eastAsia="Yu Gothic"/>
          <w:noProof/>
          <w:szCs w:val="24"/>
          <w:lang w:eastAsia="en-IE"/>
        </w:rPr>
        <w:t>, the Commission had, for the first time, exercised</w:t>
      </w:r>
      <w:r w:rsidR="00C31F8E" w:rsidRPr="00B37B09" w:rsidDel="006D58B5">
        <w:rPr>
          <w:rFonts w:eastAsia="Yu Gothic"/>
          <w:noProof/>
          <w:szCs w:val="24"/>
          <w:lang w:eastAsia="en-IE"/>
        </w:rPr>
        <w:t xml:space="preserve"> </w:t>
      </w:r>
      <w:r w:rsidR="00C31F8E" w:rsidRPr="00B37B09">
        <w:rPr>
          <w:rFonts w:eastAsia="Yu Gothic"/>
          <w:noProof/>
          <w:szCs w:val="24"/>
          <w:lang w:eastAsia="en-IE"/>
        </w:rPr>
        <w:t>its power to request the prior notification of FFC in a public procurement procedure pursuant to Article</w:t>
      </w:r>
      <w:r w:rsidR="00953716">
        <w:rPr>
          <w:rFonts w:eastAsia="Yu Gothic"/>
          <w:noProof/>
          <w:szCs w:val="24"/>
          <w:lang w:eastAsia="en-IE"/>
        </w:rPr>
        <w:t> </w:t>
      </w:r>
      <w:r w:rsidR="00C31F8E" w:rsidRPr="00B37B09">
        <w:rPr>
          <w:rFonts w:eastAsia="Yu Gothic"/>
          <w:noProof/>
          <w:szCs w:val="24"/>
          <w:lang w:eastAsia="en-IE"/>
        </w:rPr>
        <w:t>29(8)</w:t>
      </w:r>
      <w:r w:rsidR="00953716">
        <w:rPr>
          <w:rFonts w:eastAsia="Yu Gothic"/>
          <w:noProof/>
          <w:szCs w:val="24"/>
          <w:lang w:eastAsia="en-IE"/>
        </w:rPr>
        <w:t> </w:t>
      </w:r>
      <w:r w:rsidR="00C31F8E" w:rsidRPr="00B37B09">
        <w:rPr>
          <w:rFonts w:eastAsia="Yu Gothic"/>
          <w:noProof/>
          <w:szCs w:val="24"/>
          <w:lang w:eastAsia="en-IE"/>
        </w:rPr>
        <w:t>FSR.</w:t>
      </w:r>
    </w:p>
    <w:p w14:paraId="69E84A74" w14:textId="77777777" w:rsidR="00C31F8E" w:rsidRPr="00EB7BFC" w:rsidRDefault="00C31F8E" w:rsidP="006041B3">
      <w:pPr>
        <w:pStyle w:val="Text1"/>
        <w:keepNext/>
        <w:numPr>
          <w:ilvl w:val="0"/>
          <w:numId w:val="209"/>
        </w:numPr>
        <w:ind w:left="714" w:hanging="357"/>
        <w:rPr>
          <w:noProof/>
        </w:rPr>
      </w:pPr>
      <w:bookmarkStart w:id="103" w:name="_Toc228286485"/>
      <w:r w:rsidRPr="00EB7BFC">
        <w:rPr>
          <w:noProof/>
        </w:rPr>
        <w:t>Case FSP.100147 – Supply of railway rolling stock in Bulgaria</w:t>
      </w:r>
      <w:bookmarkEnd w:id="103"/>
    </w:p>
    <w:p w14:paraId="0F7D3450" w14:textId="48A2B617" w:rsidR="00C31F8E" w:rsidRDefault="00000C63" w:rsidP="00C31F8E">
      <w:pPr>
        <w:rPr>
          <w:rFonts w:eastAsiaTheme="minorEastAsia"/>
          <w:noProof/>
          <w:lang w:eastAsia="en-IE"/>
        </w:rPr>
      </w:pPr>
      <w:r>
        <w:rPr>
          <w:rFonts w:eastAsiaTheme="minorEastAsia"/>
          <w:noProof/>
          <w:lang w:eastAsia="en-IE"/>
        </w:rPr>
        <w:t>T</w:t>
      </w:r>
      <w:r w:rsidR="00C31F8E" w:rsidRPr="00334C92">
        <w:rPr>
          <w:rFonts w:eastAsiaTheme="minorEastAsia"/>
          <w:noProof/>
          <w:lang w:eastAsia="en-IE"/>
        </w:rPr>
        <w:t xml:space="preserve">he Commission opened an in-depth investigation on 16 February 2024 to assess </w:t>
      </w:r>
      <w:r w:rsidR="00C31F8E">
        <w:rPr>
          <w:rFonts w:eastAsiaTheme="minorEastAsia"/>
          <w:noProof/>
          <w:lang w:eastAsia="en-IE"/>
        </w:rPr>
        <w:t xml:space="preserve">potentially distortive subsidies in an </w:t>
      </w:r>
      <w:r w:rsidR="00C31F8E" w:rsidRPr="00334C92">
        <w:rPr>
          <w:rFonts w:eastAsiaTheme="minorEastAsia"/>
          <w:noProof/>
          <w:lang w:eastAsia="en-IE"/>
        </w:rPr>
        <w:t xml:space="preserve">open public procurement procedure for the project related to the provision of several electric </w:t>
      </w:r>
      <w:r w:rsidR="00C31F8E">
        <w:rPr>
          <w:rFonts w:eastAsiaTheme="minorEastAsia"/>
          <w:noProof/>
          <w:lang w:eastAsia="en-IE"/>
        </w:rPr>
        <w:t>‘</w:t>
      </w:r>
      <w:r w:rsidR="00C31F8E" w:rsidRPr="00334C92">
        <w:rPr>
          <w:rFonts w:eastAsiaTheme="minorEastAsia"/>
          <w:noProof/>
          <w:lang w:eastAsia="en-IE"/>
        </w:rPr>
        <w:t>push-pull</w:t>
      </w:r>
      <w:r w:rsidR="00C31F8E">
        <w:rPr>
          <w:rFonts w:eastAsiaTheme="minorEastAsia"/>
          <w:noProof/>
          <w:lang w:eastAsia="en-IE"/>
        </w:rPr>
        <w:t>’</w:t>
      </w:r>
      <w:r w:rsidR="00C31F8E" w:rsidRPr="00334C92">
        <w:rPr>
          <w:rFonts w:eastAsiaTheme="minorEastAsia"/>
          <w:noProof/>
          <w:lang w:eastAsia="en-IE"/>
        </w:rPr>
        <w:t xml:space="preserve"> trains as well as related maintenance and staff training services launched by the Ministry of Transport and Communications of Bulgaria.</w:t>
      </w:r>
    </w:p>
    <w:p w14:paraId="514C9151" w14:textId="39246865" w:rsidR="00C31F8E" w:rsidRDefault="00C31F8E" w:rsidP="00C31F8E">
      <w:pPr>
        <w:rPr>
          <w:rFonts w:eastAsiaTheme="minorEastAsia"/>
          <w:noProof/>
          <w:szCs w:val="24"/>
          <w:lang w:eastAsia="en-IE"/>
        </w:rPr>
      </w:pPr>
      <w:r w:rsidRPr="4D158494">
        <w:rPr>
          <w:rFonts w:eastAsiaTheme="minorEastAsia"/>
          <w:noProof/>
          <w:szCs w:val="24"/>
          <w:lang w:eastAsia="en-IE"/>
        </w:rPr>
        <w:t>The in-depth investigation was initiated following a preliminary review in which the Commission found sufficient indications that China Railway Rolling Stock Corporation Qingdao Sifang Locomotive Co., Ltd., (‘CRRC Qingdao Sifang’) owned by CRRC Corporation Limited</w:t>
      </w:r>
      <w:r w:rsidR="000E6A76">
        <w:rPr>
          <w:rFonts w:eastAsiaTheme="minorEastAsia"/>
          <w:noProof/>
          <w:szCs w:val="24"/>
          <w:lang w:eastAsia="en-IE"/>
        </w:rPr>
        <w:t xml:space="preserve"> (‘CRRC’)</w:t>
      </w:r>
      <w:r w:rsidRPr="4D158494">
        <w:rPr>
          <w:rFonts w:eastAsiaTheme="minorEastAsia"/>
          <w:noProof/>
          <w:szCs w:val="24"/>
          <w:lang w:eastAsia="en-IE"/>
        </w:rPr>
        <w:t>, had received various foreign subsidies from the People’s Republic of China (‘the PRC’). These subsidies took the form of public contracts potentially awarded on non-market terms and of government grants.</w:t>
      </w:r>
    </w:p>
    <w:p w14:paraId="016FA95F" w14:textId="7F79881C" w:rsidR="00C31F8E" w:rsidRPr="001221D7" w:rsidRDefault="00C31F8E" w:rsidP="00C31F8E">
      <w:pPr>
        <w:rPr>
          <w:rFonts w:eastAsiaTheme="minorEastAsia"/>
          <w:noProof/>
          <w:szCs w:val="24"/>
          <w:lang w:eastAsia="en-IE"/>
        </w:rPr>
      </w:pPr>
      <w:r w:rsidRPr="22A244BD">
        <w:rPr>
          <w:rFonts w:eastAsiaTheme="minorEastAsia"/>
          <w:noProof/>
          <w:szCs w:val="24"/>
          <w:lang w:eastAsia="en-IE"/>
        </w:rPr>
        <w:t xml:space="preserve">On 26 March 2024, shortly after the opening of its in-depth investigation, the Commission announced the closure of the case following the legally binding withdrawal of CRRC Qingdao Sifang, from the public procurement. As a result, the Commission closed the case without adopting a final decision pursuant to </w:t>
      </w:r>
      <w:r w:rsidR="00AC7094" w:rsidRPr="22A244BD">
        <w:rPr>
          <w:rFonts w:eastAsiaTheme="minorEastAsia"/>
          <w:noProof/>
          <w:szCs w:val="24"/>
          <w:lang w:eastAsia="en-IE"/>
        </w:rPr>
        <w:t>Article</w:t>
      </w:r>
      <w:r w:rsidR="00AC7094">
        <w:rPr>
          <w:rFonts w:eastAsiaTheme="minorEastAsia"/>
          <w:noProof/>
          <w:szCs w:val="24"/>
          <w:lang w:eastAsia="en-IE"/>
        </w:rPr>
        <w:t> </w:t>
      </w:r>
      <w:r w:rsidRPr="22A244BD">
        <w:rPr>
          <w:rFonts w:eastAsiaTheme="minorEastAsia"/>
          <w:noProof/>
          <w:szCs w:val="24"/>
          <w:lang w:eastAsia="en-IE"/>
        </w:rPr>
        <w:t xml:space="preserve">31 FSR. </w:t>
      </w:r>
    </w:p>
    <w:p w14:paraId="33C145EE" w14:textId="77777777" w:rsidR="00C31F8E" w:rsidRPr="00EB7BFC" w:rsidRDefault="00C31F8E" w:rsidP="006041B3">
      <w:pPr>
        <w:pStyle w:val="Text1"/>
        <w:keepNext/>
        <w:numPr>
          <w:ilvl w:val="0"/>
          <w:numId w:val="209"/>
        </w:numPr>
        <w:ind w:left="714" w:hanging="357"/>
        <w:rPr>
          <w:rFonts w:eastAsiaTheme="minorEastAsia"/>
          <w:noProof/>
          <w:szCs w:val="24"/>
          <w:lang w:eastAsia="en-IE"/>
        </w:rPr>
      </w:pPr>
      <w:bookmarkStart w:id="104" w:name="_Ref227310450"/>
      <w:bookmarkStart w:id="105" w:name="_Toc228286486"/>
      <w:r w:rsidRPr="00EB7BFC">
        <w:rPr>
          <w:noProof/>
        </w:rPr>
        <w:t xml:space="preserve">Cases FSP.100151 and FSP.100154 – </w:t>
      </w:r>
      <w:bookmarkEnd w:id="104"/>
      <w:r w:rsidRPr="00EB7BFC">
        <w:rPr>
          <w:noProof/>
        </w:rPr>
        <w:t>Design, construction and operation of a photovoltaic park in Romania</w:t>
      </w:r>
      <w:bookmarkEnd w:id="105"/>
    </w:p>
    <w:p w14:paraId="18A47995" w14:textId="017CD308" w:rsidR="00C31F8E" w:rsidRPr="00576CBB" w:rsidRDefault="00000C63" w:rsidP="00C31F8E">
      <w:pPr>
        <w:rPr>
          <w:rFonts w:eastAsiaTheme="minorEastAsia"/>
          <w:noProof/>
          <w:lang w:eastAsia="en-IE"/>
        </w:rPr>
      </w:pPr>
      <w:r>
        <w:rPr>
          <w:rFonts w:eastAsiaTheme="minorEastAsia"/>
          <w:noProof/>
          <w:lang w:eastAsia="en-IE"/>
        </w:rPr>
        <w:t>T</w:t>
      </w:r>
      <w:r w:rsidR="00C31F8E" w:rsidRPr="00576CBB">
        <w:rPr>
          <w:rFonts w:eastAsiaTheme="minorEastAsia"/>
          <w:noProof/>
          <w:lang w:eastAsia="en-IE"/>
        </w:rPr>
        <w:t xml:space="preserve">he Commission opened two in-depth investigations on 3 April 2025 to assess </w:t>
      </w:r>
      <w:r w:rsidR="00C31F8E">
        <w:rPr>
          <w:rFonts w:eastAsiaTheme="minorEastAsia"/>
          <w:noProof/>
          <w:lang w:eastAsia="en-IE"/>
        </w:rPr>
        <w:t xml:space="preserve">potentially distortive subsidies in </w:t>
      </w:r>
      <w:r w:rsidR="00C31F8E" w:rsidRPr="00576CBB">
        <w:rPr>
          <w:rFonts w:eastAsiaTheme="minorEastAsia"/>
          <w:noProof/>
          <w:lang w:eastAsia="en-IE"/>
        </w:rPr>
        <w:t>the open public procurement procedure for the design, construction and operation of a photovoltaic park in Romania launched from Societatea Parc Fotovoltaic Rovinari Est S.A.</w:t>
      </w:r>
    </w:p>
    <w:p w14:paraId="78D8F7FE" w14:textId="1B9FABF2" w:rsidR="00C31F8E" w:rsidRPr="00576CBB" w:rsidRDefault="00C31F8E" w:rsidP="00C31F8E">
      <w:pPr>
        <w:rPr>
          <w:rFonts w:eastAsiaTheme="minorEastAsia"/>
          <w:noProof/>
          <w:szCs w:val="24"/>
          <w:lang w:eastAsia="en-IE"/>
        </w:rPr>
      </w:pPr>
      <w:r w:rsidRPr="21005287">
        <w:rPr>
          <w:rFonts w:eastAsiaTheme="minorEastAsia"/>
          <w:noProof/>
          <w:szCs w:val="24"/>
          <w:lang w:eastAsia="en-IE"/>
        </w:rPr>
        <w:t xml:space="preserve">During the preliminary review, the Commission found sufficient indications that two </w:t>
      </w:r>
      <w:r>
        <w:rPr>
          <w:rFonts w:eastAsiaTheme="minorEastAsia"/>
          <w:noProof/>
          <w:szCs w:val="24"/>
          <w:lang w:eastAsia="en-IE"/>
        </w:rPr>
        <w:t>economic operators</w:t>
      </w:r>
      <w:r w:rsidRPr="21005287">
        <w:rPr>
          <w:rFonts w:eastAsiaTheme="minorEastAsia"/>
          <w:noProof/>
          <w:szCs w:val="24"/>
          <w:lang w:eastAsia="en-IE"/>
        </w:rPr>
        <w:t xml:space="preserve"> were granted foreign subsidies by the PRC, in the form of provision of government grants, tax measures, financing and in the form of</w:t>
      </w:r>
      <w:r>
        <w:rPr>
          <w:rFonts w:eastAsiaTheme="minorEastAsia"/>
          <w:noProof/>
          <w:szCs w:val="24"/>
          <w:lang w:eastAsia="en-IE"/>
        </w:rPr>
        <w:t xml:space="preserve"> </w:t>
      </w:r>
      <w:r w:rsidRPr="21005287">
        <w:rPr>
          <w:rFonts w:eastAsiaTheme="minorEastAsia"/>
          <w:noProof/>
          <w:szCs w:val="24"/>
          <w:lang w:eastAsia="en-IE"/>
        </w:rPr>
        <w:t>public contracts awarded potentially on non-market terms that distorted competition in the internal market.</w:t>
      </w:r>
      <w:r>
        <w:rPr>
          <w:rFonts w:eastAsiaTheme="minorEastAsia"/>
          <w:noProof/>
          <w:szCs w:val="24"/>
          <w:lang w:eastAsia="en-IE"/>
        </w:rPr>
        <w:t xml:space="preserve"> </w:t>
      </w:r>
      <w:r w:rsidRPr="21005287">
        <w:rPr>
          <w:rFonts w:eastAsiaTheme="minorEastAsia"/>
          <w:noProof/>
          <w:szCs w:val="24"/>
          <w:lang w:eastAsia="en-IE"/>
        </w:rPr>
        <w:t xml:space="preserve">Therefore, the Commission found indications that foreign subsidies may have enabled the two </w:t>
      </w:r>
      <w:r>
        <w:rPr>
          <w:rFonts w:eastAsiaTheme="minorEastAsia"/>
          <w:noProof/>
          <w:szCs w:val="24"/>
          <w:lang w:eastAsia="en-IE"/>
        </w:rPr>
        <w:t>economic operators</w:t>
      </w:r>
      <w:r w:rsidRPr="21005287">
        <w:rPr>
          <w:rFonts w:eastAsiaTheme="minorEastAsia"/>
          <w:noProof/>
          <w:szCs w:val="24"/>
          <w:lang w:eastAsia="en-IE"/>
        </w:rPr>
        <w:t>, (i</w:t>
      </w:r>
      <w:r w:rsidR="00AC7094" w:rsidRPr="21005287">
        <w:rPr>
          <w:rFonts w:eastAsiaTheme="minorEastAsia"/>
          <w:noProof/>
          <w:szCs w:val="24"/>
          <w:lang w:eastAsia="en-IE"/>
        </w:rPr>
        <w:t>)</w:t>
      </w:r>
      <w:r w:rsidR="00AC7094">
        <w:rPr>
          <w:rFonts w:eastAsiaTheme="minorEastAsia"/>
          <w:noProof/>
          <w:szCs w:val="24"/>
          <w:lang w:eastAsia="en-IE"/>
        </w:rPr>
        <w:t> </w:t>
      </w:r>
      <w:r w:rsidRPr="21005287">
        <w:rPr>
          <w:rFonts w:eastAsiaTheme="minorEastAsia"/>
          <w:noProof/>
          <w:szCs w:val="24"/>
          <w:lang w:eastAsia="en-IE"/>
        </w:rPr>
        <w:t>Shanghai Electric UK Ltd. and Shanghai Electric Hong Kong International Engineering Company, and (ii</w:t>
      </w:r>
      <w:r w:rsidR="00AC7094" w:rsidRPr="21005287">
        <w:rPr>
          <w:rFonts w:eastAsiaTheme="minorEastAsia"/>
          <w:noProof/>
          <w:szCs w:val="24"/>
          <w:lang w:eastAsia="en-IE"/>
        </w:rPr>
        <w:t>)</w:t>
      </w:r>
      <w:r w:rsidR="00AC7094">
        <w:rPr>
          <w:rFonts w:eastAsiaTheme="minorEastAsia"/>
          <w:noProof/>
          <w:szCs w:val="24"/>
          <w:lang w:eastAsia="en-IE"/>
        </w:rPr>
        <w:t> </w:t>
      </w:r>
      <w:r w:rsidRPr="21005287">
        <w:rPr>
          <w:rFonts w:eastAsiaTheme="minorEastAsia"/>
          <w:noProof/>
          <w:szCs w:val="24"/>
          <w:lang w:eastAsia="en-IE"/>
        </w:rPr>
        <w:t xml:space="preserve">ENEVO Group – LONGi Solar Technologie Consortium to offer lower prices than </w:t>
      </w:r>
      <w:r w:rsidR="0024668D">
        <w:rPr>
          <w:rFonts w:eastAsiaTheme="minorEastAsia"/>
          <w:noProof/>
          <w:szCs w:val="24"/>
          <w:lang w:eastAsia="en-IE"/>
        </w:rPr>
        <w:t>their</w:t>
      </w:r>
      <w:r w:rsidRPr="21005287">
        <w:rPr>
          <w:rFonts w:eastAsiaTheme="minorEastAsia"/>
          <w:noProof/>
          <w:szCs w:val="24"/>
          <w:lang w:eastAsia="en-IE"/>
        </w:rPr>
        <w:t xml:space="preserve"> competitors, thereby enabling them to submit a tender that </w:t>
      </w:r>
      <w:r w:rsidR="00AC7094">
        <w:rPr>
          <w:rFonts w:eastAsiaTheme="minorEastAsia"/>
          <w:noProof/>
          <w:szCs w:val="24"/>
          <w:lang w:eastAsia="en-IE"/>
        </w:rPr>
        <w:t>wa</w:t>
      </w:r>
      <w:r w:rsidRPr="21005287">
        <w:rPr>
          <w:rFonts w:eastAsiaTheme="minorEastAsia"/>
          <w:noProof/>
          <w:szCs w:val="24"/>
          <w:lang w:eastAsia="en-IE"/>
        </w:rPr>
        <w:t>s unduly advantageous in relation to the works, supplies or services concerned.</w:t>
      </w:r>
    </w:p>
    <w:p w14:paraId="36AECFEF" w14:textId="57942B25" w:rsidR="00C31F8E" w:rsidRPr="00576CBB" w:rsidRDefault="00C31F8E" w:rsidP="00C31F8E">
      <w:pPr>
        <w:rPr>
          <w:rFonts w:eastAsiaTheme="minorEastAsia"/>
          <w:noProof/>
          <w:szCs w:val="24"/>
          <w:lang w:eastAsia="en-IE"/>
        </w:rPr>
      </w:pPr>
      <w:r w:rsidRPr="1C7DF2B3">
        <w:rPr>
          <w:rFonts w:eastAsiaTheme="minorEastAsia"/>
          <w:noProof/>
          <w:szCs w:val="24"/>
          <w:lang w:eastAsia="en-IE"/>
        </w:rPr>
        <w:t xml:space="preserve">On 7 June 2024, the Commission announced the closure of both in-depth investigations, following the legally binding withdrawal of both </w:t>
      </w:r>
      <w:r>
        <w:rPr>
          <w:rFonts w:eastAsiaTheme="minorEastAsia"/>
          <w:noProof/>
          <w:szCs w:val="24"/>
          <w:lang w:eastAsia="en-IE"/>
        </w:rPr>
        <w:t>economic operators</w:t>
      </w:r>
      <w:r w:rsidRPr="1C7DF2B3">
        <w:rPr>
          <w:rFonts w:eastAsiaTheme="minorEastAsia"/>
          <w:noProof/>
          <w:szCs w:val="24"/>
          <w:lang w:eastAsia="en-IE"/>
        </w:rPr>
        <w:t xml:space="preserve"> from the public procurement procedure. As a result, the Commission closed the case without adopting a final decision pursuant to </w:t>
      </w:r>
      <w:r w:rsidR="00AC7094" w:rsidRPr="1C7DF2B3">
        <w:rPr>
          <w:rFonts w:eastAsiaTheme="minorEastAsia"/>
          <w:noProof/>
          <w:szCs w:val="24"/>
          <w:lang w:eastAsia="en-IE"/>
        </w:rPr>
        <w:t>Article</w:t>
      </w:r>
      <w:r w:rsidR="00AC7094">
        <w:rPr>
          <w:rFonts w:eastAsiaTheme="minorEastAsia"/>
          <w:noProof/>
          <w:szCs w:val="24"/>
          <w:lang w:eastAsia="en-IE"/>
        </w:rPr>
        <w:t> </w:t>
      </w:r>
      <w:r w:rsidRPr="1C7DF2B3">
        <w:rPr>
          <w:rFonts w:eastAsiaTheme="minorEastAsia"/>
          <w:noProof/>
          <w:szCs w:val="24"/>
          <w:lang w:eastAsia="en-IE"/>
        </w:rPr>
        <w:t>31 FSR.</w:t>
      </w:r>
    </w:p>
    <w:p w14:paraId="6B6BE168" w14:textId="77777777" w:rsidR="00C31F8E" w:rsidRPr="00EB7BFC" w:rsidRDefault="00C31F8E" w:rsidP="006041B3">
      <w:pPr>
        <w:pStyle w:val="Text1"/>
        <w:keepNext/>
        <w:numPr>
          <w:ilvl w:val="0"/>
          <w:numId w:val="209"/>
        </w:numPr>
        <w:ind w:left="714" w:hanging="357"/>
        <w:rPr>
          <w:noProof/>
        </w:rPr>
      </w:pPr>
      <w:bookmarkStart w:id="106" w:name="_Toc228286487"/>
      <w:r w:rsidRPr="00EB7BFC">
        <w:rPr>
          <w:noProof/>
        </w:rPr>
        <w:t>Case FSP.103117 – Design and construction, acquisition of vehicles and maintenance services of the Violet Line of the Lisbon Metro in Portugal</w:t>
      </w:r>
      <w:bookmarkEnd w:id="106"/>
    </w:p>
    <w:p w14:paraId="24B34DF7" w14:textId="0AE262CD" w:rsidR="00C31F8E" w:rsidRDefault="00C31F8E" w:rsidP="00C31F8E">
      <w:pPr>
        <w:rPr>
          <w:rFonts w:eastAsiaTheme="minorEastAsia"/>
          <w:noProof/>
          <w:szCs w:val="24"/>
          <w:lang w:eastAsia="en-IE"/>
        </w:rPr>
      </w:pPr>
      <w:r>
        <w:rPr>
          <w:rFonts w:eastAsiaTheme="minorEastAsia"/>
          <w:noProof/>
          <w:szCs w:val="24"/>
          <w:lang w:eastAsia="en-IE"/>
        </w:rPr>
        <w:t xml:space="preserve">The tender of the </w:t>
      </w:r>
      <w:r w:rsidRPr="39E24584">
        <w:rPr>
          <w:rFonts w:eastAsiaTheme="minorEastAsia"/>
          <w:noProof/>
          <w:szCs w:val="24"/>
          <w:lang w:eastAsia="en-IE"/>
        </w:rPr>
        <w:t>consortium led by Mota-Engil Engenharia e Construção, S.A. (‘Mota-Engil’)</w:t>
      </w:r>
      <w:r>
        <w:rPr>
          <w:rFonts w:eastAsiaTheme="minorEastAsia"/>
          <w:noProof/>
          <w:szCs w:val="24"/>
          <w:lang w:eastAsia="en-IE"/>
        </w:rPr>
        <w:t xml:space="preserve"> was conditionally cleared on 21 April 2026. The procedure concerned t</w:t>
      </w:r>
      <w:r w:rsidRPr="1C7DF2B3">
        <w:rPr>
          <w:rFonts w:eastAsiaTheme="minorEastAsia"/>
          <w:noProof/>
          <w:szCs w:val="24"/>
          <w:lang w:eastAsia="en-IE"/>
        </w:rPr>
        <w:t xml:space="preserve">he open public procurement procedure for the ‘Design and </w:t>
      </w:r>
      <w:r w:rsidR="007345F2">
        <w:rPr>
          <w:rFonts w:eastAsiaTheme="minorEastAsia"/>
          <w:noProof/>
          <w:szCs w:val="24"/>
          <w:lang w:eastAsia="en-IE"/>
        </w:rPr>
        <w:t>c</w:t>
      </w:r>
      <w:r w:rsidRPr="1C7DF2B3">
        <w:rPr>
          <w:rFonts w:eastAsiaTheme="minorEastAsia"/>
          <w:noProof/>
          <w:szCs w:val="24"/>
          <w:lang w:eastAsia="en-IE"/>
        </w:rPr>
        <w:t xml:space="preserve">onstruction, </w:t>
      </w:r>
      <w:r w:rsidR="007345F2">
        <w:rPr>
          <w:rFonts w:eastAsiaTheme="minorEastAsia"/>
          <w:noProof/>
          <w:szCs w:val="24"/>
          <w:lang w:eastAsia="en-IE"/>
        </w:rPr>
        <w:t>a</w:t>
      </w:r>
      <w:r w:rsidRPr="1C7DF2B3">
        <w:rPr>
          <w:rFonts w:eastAsiaTheme="minorEastAsia"/>
          <w:noProof/>
          <w:szCs w:val="24"/>
          <w:lang w:eastAsia="en-IE"/>
        </w:rPr>
        <w:t xml:space="preserve">cquisition of </w:t>
      </w:r>
      <w:r w:rsidR="007345F2">
        <w:rPr>
          <w:rFonts w:eastAsiaTheme="minorEastAsia"/>
          <w:noProof/>
          <w:szCs w:val="24"/>
          <w:lang w:eastAsia="en-IE"/>
        </w:rPr>
        <w:t>v</w:t>
      </w:r>
      <w:r w:rsidRPr="1C7DF2B3">
        <w:rPr>
          <w:rFonts w:eastAsiaTheme="minorEastAsia"/>
          <w:noProof/>
          <w:szCs w:val="24"/>
          <w:lang w:eastAsia="en-IE"/>
        </w:rPr>
        <w:t xml:space="preserve">ehicles, and </w:t>
      </w:r>
      <w:r w:rsidR="007345F2">
        <w:rPr>
          <w:rFonts w:eastAsiaTheme="minorEastAsia"/>
          <w:noProof/>
          <w:szCs w:val="24"/>
          <w:lang w:eastAsia="en-IE"/>
        </w:rPr>
        <w:t>m</w:t>
      </w:r>
      <w:r w:rsidRPr="1C7DF2B3">
        <w:rPr>
          <w:rFonts w:eastAsiaTheme="minorEastAsia"/>
          <w:noProof/>
          <w:szCs w:val="24"/>
          <w:lang w:eastAsia="en-IE"/>
        </w:rPr>
        <w:t xml:space="preserve">aintenance </w:t>
      </w:r>
      <w:r w:rsidR="007345F2">
        <w:rPr>
          <w:rFonts w:eastAsiaTheme="minorEastAsia"/>
          <w:noProof/>
          <w:szCs w:val="24"/>
          <w:lang w:eastAsia="en-IE"/>
        </w:rPr>
        <w:t>s</w:t>
      </w:r>
      <w:r w:rsidRPr="1C7DF2B3">
        <w:rPr>
          <w:rFonts w:eastAsiaTheme="minorEastAsia"/>
          <w:noProof/>
          <w:szCs w:val="24"/>
          <w:lang w:eastAsia="en-IE"/>
        </w:rPr>
        <w:t>ervices for the Violet Line of the Lisbon Metro’, to be awarded by Metropolitano de Lisboa, E.P.E</w:t>
      </w:r>
      <w:r>
        <w:rPr>
          <w:rFonts w:eastAsiaTheme="minorEastAsia"/>
          <w:noProof/>
          <w:szCs w:val="24"/>
          <w:lang w:eastAsia="en-IE"/>
        </w:rPr>
        <w:t xml:space="preserve">. The tender submitted by Mota-Engil relied on a main subcontractor </w:t>
      </w:r>
      <w:r w:rsidRPr="39E24584">
        <w:rPr>
          <w:rFonts w:eastAsiaTheme="minorEastAsia"/>
          <w:noProof/>
          <w:szCs w:val="24"/>
          <w:lang w:eastAsia="en-IE"/>
        </w:rPr>
        <w:t>for the supply of rolling stock and related services</w:t>
      </w:r>
      <w:r w:rsidR="008604C5">
        <w:rPr>
          <w:rFonts w:eastAsiaTheme="minorEastAsia"/>
          <w:noProof/>
          <w:szCs w:val="24"/>
          <w:lang w:eastAsia="en-IE"/>
        </w:rPr>
        <w:t>, i.e.</w:t>
      </w:r>
      <w:r>
        <w:rPr>
          <w:rFonts w:eastAsiaTheme="minorEastAsia"/>
          <w:noProof/>
          <w:szCs w:val="24"/>
          <w:lang w:eastAsia="en-IE"/>
        </w:rPr>
        <w:t xml:space="preserve"> Portugal CRRC, an undertaking </w:t>
      </w:r>
      <w:r w:rsidRPr="39E24584">
        <w:rPr>
          <w:rFonts w:eastAsiaTheme="minorEastAsia"/>
          <w:noProof/>
          <w:szCs w:val="24"/>
          <w:lang w:eastAsia="en-IE"/>
        </w:rPr>
        <w:t xml:space="preserve">belonging to the </w:t>
      </w:r>
      <w:r w:rsidR="000E6A76">
        <w:rPr>
          <w:rFonts w:eastAsiaTheme="minorEastAsia"/>
          <w:noProof/>
          <w:szCs w:val="24"/>
          <w:lang w:eastAsia="en-IE"/>
        </w:rPr>
        <w:t xml:space="preserve">CRRC </w:t>
      </w:r>
      <w:r w:rsidRPr="39E24584">
        <w:rPr>
          <w:rFonts w:eastAsiaTheme="minorEastAsia"/>
          <w:noProof/>
          <w:szCs w:val="24"/>
          <w:lang w:eastAsia="en-IE"/>
        </w:rPr>
        <w:t>group</w:t>
      </w:r>
      <w:r>
        <w:rPr>
          <w:rFonts w:eastAsiaTheme="minorEastAsia"/>
          <w:noProof/>
          <w:szCs w:val="24"/>
          <w:lang w:eastAsia="en-IE"/>
        </w:rPr>
        <w:t>.</w:t>
      </w:r>
    </w:p>
    <w:p w14:paraId="0DC2C7E3" w14:textId="77777777" w:rsidR="00C31F8E" w:rsidRDefault="00C31F8E" w:rsidP="00C31F8E">
      <w:pPr>
        <w:rPr>
          <w:rFonts w:eastAsiaTheme="minorEastAsia"/>
          <w:noProof/>
          <w:szCs w:val="24"/>
          <w:lang w:eastAsia="en-IE"/>
        </w:rPr>
      </w:pPr>
      <w:r>
        <w:rPr>
          <w:rFonts w:eastAsiaTheme="minorEastAsia"/>
          <w:noProof/>
          <w:szCs w:val="24"/>
          <w:lang w:eastAsia="en-IE"/>
        </w:rPr>
        <w:t xml:space="preserve">The Commission found evidence of the presence of foreign subsidies in the </w:t>
      </w:r>
      <w:r w:rsidRPr="39E24584">
        <w:rPr>
          <w:rFonts w:eastAsiaTheme="minorEastAsia"/>
          <w:noProof/>
          <w:szCs w:val="24"/>
          <w:lang w:eastAsia="en-IE"/>
        </w:rPr>
        <w:t>form of government grants, tax measures and turnover from public contracts which exceeds the turnover which would have been achieved in a competitive, transparent and non-discriminatory procedure</w:t>
      </w:r>
      <w:r>
        <w:rPr>
          <w:rFonts w:eastAsiaTheme="minorEastAsia"/>
          <w:noProof/>
          <w:szCs w:val="24"/>
          <w:lang w:eastAsia="en-IE"/>
        </w:rPr>
        <w:t>, which</w:t>
      </w:r>
      <w:r w:rsidRPr="39E24584">
        <w:rPr>
          <w:rFonts w:eastAsiaTheme="minorEastAsia"/>
          <w:noProof/>
          <w:szCs w:val="24"/>
          <w:lang w:eastAsia="en-IE"/>
        </w:rPr>
        <w:t xml:space="preserve"> enable</w:t>
      </w:r>
      <w:r>
        <w:rPr>
          <w:rFonts w:eastAsiaTheme="minorEastAsia"/>
          <w:noProof/>
          <w:szCs w:val="24"/>
          <w:lang w:eastAsia="en-IE"/>
        </w:rPr>
        <w:t>d</w:t>
      </w:r>
      <w:r w:rsidRPr="39E24584">
        <w:rPr>
          <w:rFonts w:eastAsiaTheme="minorEastAsia"/>
          <w:noProof/>
          <w:szCs w:val="24"/>
          <w:lang w:eastAsia="en-IE"/>
        </w:rPr>
        <w:t xml:space="preserve"> Portugal CRRC to </w:t>
      </w:r>
      <w:r>
        <w:rPr>
          <w:rFonts w:eastAsiaTheme="minorEastAsia"/>
          <w:noProof/>
          <w:szCs w:val="24"/>
          <w:lang w:eastAsia="en-IE"/>
        </w:rPr>
        <w:t>submit</w:t>
      </w:r>
      <w:r w:rsidRPr="39E24584">
        <w:rPr>
          <w:rFonts w:eastAsiaTheme="minorEastAsia"/>
          <w:noProof/>
          <w:szCs w:val="24"/>
          <w:lang w:eastAsia="en-IE"/>
        </w:rPr>
        <w:t xml:space="preserve"> an advantageous offer to the consortium led by Mota-Engil and subsequently, enable</w:t>
      </w:r>
      <w:r>
        <w:rPr>
          <w:rFonts w:eastAsiaTheme="minorEastAsia"/>
          <w:noProof/>
          <w:szCs w:val="24"/>
          <w:lang w:eastAsia="en-IE"/>
        </w:rPr>
        <w:t>d</w:t>
      </w:r>
      <w:r w:rsidRPr="39E24584">
        <w:rPr>
          <w:rFonts w:eastAsiaTheme="minorEastAsia"/>
          <w:noProof/>
          <w:szCs w:val="24"/>
          <w:lang w:eastAsia="en-IE"/>
        </w:rPr>
        <w:t xml:space="preserve"> the consortium to submit an unduly advantageous tender, thus distorting competition in the public procurement procedure.</w:t>
      </w:r>
    </w:p>
    <w:p w14:paraId="047B0A10" w14:textId="29F4FB4F" w:rsidR="00C31F8E" w:rsidRDefault="00C31F8E" w:rsidP="00C31F8E">
      <w:pPr>
        <w:rPr>
          <w:rFonts w:eastAsiaTheme="minorEastAsia"/>
          <w:noProof/>
          <w:szCs w:val="24"/>
          <w:lang w:eastAsia="en-IE"/>
        </w:rPr>
      </w:pPr>
      <w:r>
        <w:rPr>
          <w:rFonts w:eastAsiaTheme="minorEastAsia"/>
          <w:noProof/>
          <w:szCs w:val="24"/>
          <w:lang w:eastAsia="en-IE"/>
        </w:rPr>
        <w:t xml:space="preserve">In order to address the </w:t>
      </w:r>
      <w:r w:rsidR="007345F2">
        <w:rPr>
          <w:rFonts w:eastAsiaTheme="minorEastAsia"/>
          <w:noProof/>
          <w:szCs w:val="24"/>
          <w:lang w:eastAsia="en-IE"/>
        </w:rPr>
        <w:t xml:space="preserve">detected </w:t>
      </w:r>
      <w:r>
        <w:rPr>
          <w:rFonts w:eastAsiaTheme="minorEastAsia"/>
          <w:noProof/>
          <w:szCs w:val="24"/>
          <w:lang w:eastAsia="en-IE"/>
        </w:rPr>
        <w:t xml:space="preserve">distortion, the Commission accepted commitments proposed by Mota-Engil on behalf of the consortium, </w:t>
      </w:r>
      <w:r w:rsidRPr="1EA22347">
        <w:rPr>
          <w:rFonts w:eastAsiaTheme="minorEastAsia"/>
          <w:noProof/>
          <w:szCs w:val="24"/>
          <w:lang w:eastAsia="en-IE"/>
        </w:rPr>
        <w:t xml:space="preserve">in which it committed to replace Portugal CRRC by the Polish Pojazdy Szynowe PESA Bydgoszcz Spółka </w:t>
      </w:r>
      <w:r w:rsidR="000A1F37" w:rsidRPr="000A1F37">
        <w:rPr>
          <w:rFonts w:eastAsiaTheme="minorEastAsia"/>
          <w:noProof/>
          <w:szCs w:val="24"/>
          <w:lang w:eastAsia="en-IE"/>
        </w:rPr>
        <w:t>Akcyjna ('PESA') for</w:t>
      </w:r>
      <w:r w:rsidRPr="1EA22347">
        <w:rPr>
          <w:rFonts w:eastAsiaTheme="minorEastAsia"/>
          <w:noProof/>
          <w:szCs w:val="24"/>
          <w:lang w:eastAsia="en-IE"/>
        </w:rPr>
        <w:t xml:space="preserve"> the entire duration of the contract performance period.</w:t>
      </w:r>
    </w:p>
    <w:p w14:paraId="7F3DBCEF" w14:textId="29ADBC43" w:rsidR="00C31F8E" w:rsidRDefault="002E5CC4" w:rsidP="00C31F8E">
      <w:pPr>
        <w:rPr>
          <w:rFonts w:eastAsiaTheme="minorEastAsia"/>
          <w:noProof/>
          <w:szCs w:val="24"/>
          <w:lang w:eastAsia="en-IE"/>
        </w:rPr>
      </w:pPr>
      <w:r>
        <w:rPr>
          <w:rFonts w:eastAsiaTheme="minorEastAsia"/>
          <w:noProof/>
          <w:szCs w:val="24"/>
          <w:lang w:eastAsia="en-IE"/>
        </w:rPr>
        <w:t>At the time of publication, the final non-confidential version of the decision with commitments was not yet available for publication.</w:t>
      </w:r>
    </w:p>
    <w:p w14:paraId="7E8614B5" w14:textId="77777777" w:rsidR="00C31F8E" w:rsidRPr="00EB7BFC" w:rsidRDefault="00C31F8E" w:rsidP="006041B3">
      <w:pPr>
        <w:pStyle w:val="Text1"/>
        <w:keepNext/>
        <w:numPr>
          <w:ilvl w:val="0"/>
          <w:numId w:val="209"/>
        </w:numPr>
        <w:ind w:left="714" w:hanging="357"/>
        <w:rPr>
          <w:noProof/>
        </w:rPr>
      </w:pPr>
      <w:bookmarkStart w:id="107" w:name="_Toc228286488"/>
      <w:r w:rsidRPr="00EB7BFC">
        <w:rPr>
          <w:noProof/>
        </w:rPr>
        <w:t>Cases FSP.101606 and FSP.101626 – Decisions declaring a tender irregular – Article 29(4) FSR</w:t>
      </w:r>
      <w:bookmarkEnd w:id="107"/>
    </w:p>
    <w:p w14:paraId="78D55591" w14:textId="11709CDE" w:rsidR="00C31F8E" w:rsidRPr="00004B2F" w:rsidRDefault="00C31F8E" w:rsidP="00C31F8E">
      <w:pPr>
        <w:rPr>
          <w:noProof/>
        </w:rPr>
      </w:pPr>
      <w:r>
        <w:rPr>
          <w:rFonts w:eastAsiaTheme="minorEastAsia"/>
          <w:noProof/>
          <w:szCs w:val="24"/>
          <w:lang w:eastAsia="en-IE"/>
        </w:rPr>
        <w:t>During</w:t>
      </w:r>
      <w:r w:rsidRPr="1EA22347">
        <w:rPr>
          <w:rFonts w:eastAsiaTheme="minorEastAsia"/>
          <w:noProof/>
          <w:szCs w:val="24"/>
          <w:lang w:eastAsia="en-IE"/>
        </w:rPr>
        <w:t xml:space="preserve"> the </w:t>
      </w:r>
      <w:r>
        <w:rPr>
          <w:rFonts w:eastAsiaTheme="minorEastAsia"/>
          <w:noProof/>
          <w:szCs w:val="24"/>
          <w:lang w:eastAsia="en-IE"/>
        </w:rPr>
        <w:t>reference period</w:t>
      </w:r>
      <w:r w:rsidRPr="1EA22347">
        <w:rPr>
          <w:rFonts w:eastAsiaTheme="minorEastAsia"/>
          <w:noProof/>
          <w:szCs w:val="24"/>
          <w:lang w:eastAsia="en-IE"/>
        </w:rPr>
        <w:t>, the Commission issued two decisions on incompleteness in the context of public procurement procedures. Case FSP.101606 concerned an economic operator that submitted an offer for the construction of a long-distance tunnel in a tender in Poland</w:t>
      </w:r>
      <w:r w:rsidR="00000C63">
        <w:rPr>
          <w:rFonts w:eastAsiaTheme="minorEastAsia"/>
          <w:noProof/>
          <w:szCs w:val="24"/>
          <w:lang w:eastAsia="en-IE"/>
        </w:rPr>
        <w:t>.</w:t>
      </w:r>
      <w:r w:rsidRPr="1EA22347">
        <w:rPr>
          <w:rFonts w:eastAsiaTheme="minorEastAsia"/>
          <w:noProof/>
          <w:szCs w:val="24"/>
          <w:lang w:eastAsia="en-IE"/>
        </w:rPr>
        <w:t xml:space="preserve"> </w:t>
      </w:r>
      <w:r w:rsidR="00000C63">
        <w:rPr>
          <w:rFonts w:eastAsiaTheme="minorEastAsia"/>
          <w:noProof/>
          <w:szCs w:val="24"/>
          <w:lang w:eastAsia="en-IE"/>
        </w:rPr>
        <w:t>C</w:t>
      </w:r>
      <w:r w:rsidRPr="1EA22347">
        <w:rPr>
          <w:rFonts w:eastAsiaTheme="minorEastAsia"/>
          <w:noProof/>
          <w:szCs w:val="24"/>
          <w:lang w:eastAsia="en-IE"/>
        </w:rPr>
        <w:t xml:space="preserve">ase FSP.101626 concerned an economic operator that submitted an offer for the supply of computers and workstations in a tender in France. In both cases, a </w:t>
      </w:r>
      <w:r w:rsidRPr="4AE0D78F">
        <w:rPr>
          <w:rFonts w:eastAsiaTheme="minorEastAsia"/>
          <w:noProof/>
          <w:szCs w:val="24"/>
          <w:lang w:eastAsia="en-IE"/>
        </w:rPr>
        <w:t>decision</w:t>
      </w:r>
      <w:r w:rsidRPr="1EA22347">
        <w:rPr>
          <w:rFonts w:eastAsiaTheme="minorEastAsia"/>
          <w:noProof/>
          <w:szCs w:val="24"/>
          <w:lang w:eastAsia="en-IE"/>
        </w:rPr>
        <w:t xml:space="preserve"> was issued declaring the submissions of the respective economic operators incomplete and requiring them to submit a complete notification within 10 working days. As the notifications in both cases were not completed within the </w:t>
      </w:r>
      <w:r w:rsidRPr="4AE0D78F">
        <w:rPr>
          <w:rFonts w:eastAsiaTheme="minorEastAsia"/>
          <w:noProof/>
          <w:szCs w:val="24"/>
          <w:lang w:eastAsia="en-IE"/>
        </w:rPr>
        <w:t>deadline</w:t>
      </w:r>
      <w:r w:rsidRPr="1EA22347">
        <w:rPr>
          <w:rFonts w:eastAsiaTheme="minorEastAsia"/>
          <w:noProof/>
          <w:szCs w:val="24"/>
          <w:lang w:eastAsia="en-IE"/>
        </w:rPr>
        <w:t xml:space="preserve">, </w:t>
      </w:r>
      <w:r>
        <w:rPr>
          <w:rFonts w:eastAsiaTheme="minorEastAsia"/>
          <w:noProof/>
          <w:szCs w:val="24"/>
          <w:lang w:eastAsia="en-IE"/>
        </w:rPr>
        <w:t xml:space="preserve">in March 2025 </w:t>
      </w:r>
      <w:r w:rsidRPr="1EA22347">
        <w:rPr>
          <w:rFonts w:eastAsiaTheme="minorEastAsia"/>
          <w:noProof/>
          <w:szCs w:val="24"/>
          <w:lang w:eastAsia="en-IE"/>
        </w:rPr>
        <w:t xml:space="preserve">the Commission issued decisions declaring both tenders irregular. </w:t>
      </w:r>
      <w:r w:rsidRPr="4AE0D78F">
        <w:rPr>
          <w:rFonts w:eastAsiaTheme="minorEastAsia"/>
          <w:noProof/>
          <w:szCs w:val="24"/>
          <w:lang w:eastAsia="en-IE"/>
        </w:rPr>
        <w:t>Ultimately</w:t>
      </w:r>
      <w:r w:rsidRPr="1EA22347">
        <w:rPr>
          <w:rFonts w:eastAsiaTheme="minorEastAsia"/>
          <w:noProof/>
          <w:szCs w:val="24"/>
          <w:lang w:eastAsia="en-IE"/>
        </w:rPr>
        <w:t>, the contracting authorities rejected the irregular tenders and both economic operators were excluded from the public procurement procedures.</w:t>
      </w:r>
    </w:p>
    <w:p w14:paraId="2B409895" w14:textId="7C1B31F1" w:rsidR="00C31F8E" w:rsidRPr="00EB7BFC" w:rsidRDefault="00C31F8E" w:rsidP="006041B3">
      <w:pPr>
        <w:pStyle w:val="Text1"/>
        <w:keepNext/>
        <w:numPr>
          <w:ilvl w:val="0"/>
          <w:numId w:val="209"/>
        </w:numPr>
        <w:ind w:left="714" w:hanging="357"/>
        <w:rPr>
          <w:noProof/>
        </w:rPr>
      </w:pPr>
      <w:bookmarkStart w:id="108" w:name="_Toc228286489"/>
      <w:r w:rsidRPr="00EB7BFC">
        <w:rPr>
          <w:noProof/>
        </w:rPr>
        <w:t>Case FSP.103175 – Request for prior notification – Article 29(8) FSR</w:t>
      </w:r>
      <w:bookmarkEnd w:id="108"/>
    </w:p>
    <w:p w14:paraId="682A5E2C" w14:textId="151018D3" w:rsidR="00C31F8E" w:rsidRDefault="00C31F8E" w:rsidP="00C31F8E">
      <w:pPr>
        <w:rPr>
          <w:rFonts w:eastAsiaTheme="minorEastAsia"/>
          <w:noProof/>
          <w:szCs w:val="24"/>
          <w:lang w:eastAsia="en-IE"/>
        </w:rPr>
      </w:pPr>
      <w:r>
        <w:rPr>
          <w:rFonts w:eastAsiaTheme="minorEastAsia"/>
          <w:noProof/>
          <w:szCs w:val="24"/>
          <w:lang w:eastAsia="en-IE"/>
        </w:rPr>
        <w:t>During</w:t>
      </w:r>
      <w:r w:rsidRPr="7B44DC00">
        <w:rPr>
          <w:rFonts w:eastAsiaTheme="minorEastAsia"/>
          <w:noProof/>
          <w:szCs w:val="24"/>
          <w:lang w:eastAsia="en-IE"/>
        </w:rPr>
        <w:t xml:space="preserve"> the </w:t>
      </w:r>
      <w:r>
        <w:rPr>
          <w:rFonts w:eastAsiaTheme="minorEastAsia"/>
          <w:noProof/>
          <w:szCs w:val="24"/>
          <w:lang w:eastAsia="en-IE"/>
        </w:rPr>
        <w:t>reference period</w:t>
      </w:r>
      <w:r w:rsidRPr="7B44DC00">
        <w:rPr>
          <w:rFonts w:eastAsiaTheme="minorEastAsia"/>
          <w:noProof/>
          <w:szCs w:val="24"/>
          <w:lang w:eastAsia="en-IE"/>
        </w:rPr>
        <w:t xml:space="preserve">, the Commission requested </w:t>
      </w:r>
      <w:r>
        <w:rPr>
          <w:rFonts w:eastAsiaTheme="minorEastAsia"/>
          <w:noProof/>
          <w:szCs w:val="24"/>
          <w:lang w:eastAsia="en-IE"/>
        </w:rPr>
        <w:t>one</w:t>
      </w:r>
      <w:r w:rsidRPr="68E7A930">
        <w:rPr>
          <w:rFonts w:eastAsiaTheme="minorEastAsia"/>
          <w:noProof/>
          <w:szCs w:val="24"/>
          <w:lang w:eastAsia="en-IE"/>
        </w:rPr>
        <w:t xml:space="preserve"> </w:t>
      </w:r>
      <w:r w:rsidRPr="7B44DC00">
        <w:rPr>
          <w:rFonts w:eastAsiaTheme="minorEastAsia"/>
          <w:noProof/>
          <w:szCs w:val="24"/>
          <w:lang w:eastAsia="en-IE"/>
        </w:rPr>
        <w:t xml:space="preserve">economic operator </w:t>
      </w:r>
      <w:r>
        <w:rPr>
          <w:rFonts w:eastAsiaTheme="minorEastAsia"/>
          <w:noProof/>
          <w:szCs w:val="24"/>
          <w:lang w:eastAsia="en-IE"/>
        </w:rPr>
        <w:t xml:space="preserve">to submit prior notification pursuant to </w:t>
      </w:r>
      <w:r w:rsidR="00E77877">
        <w:rPr>
          <w:rFonts w:eastAsiaTheme="minorEastAsia"/>
          <w:noProof/>
          <w:szCs w:val="24"/>
          <w:lang w:eastAsia="en-IE"/>
        </w:rPr>
        <w:t>Article </w:t>
      </w:r>
      <w:r>
        <w:rPr>
          <w:rFonts w:eastAsiaTheme="minorEastAsia"/>
          <w:noProof/>
          <w:szCs w:val="24"/>
          <w:lang w:eastAsia="en-IE"/>
        </w:rPr>
        <w:t>29(8) FSR.</w:t>
      </w:r>
      <w:r w:rsidRPr="2F405C8F">
        <w:rPr>
          <w:rFonts w:eastAsiaTheme="minorEastAsia"/>
          <w:noProof/>
          <w:szCs w:val="24"/>
          <w:lang w:eastAsia="en-IE"/>
        </w:rPr>
        <w:t xml:space="preserve"> </w:t>
      </w:r>
      <w:r w:rsidRPr="68E7A930">
        <w:rPr>
          <w:rFonts w:eastAsiaTheme="minorEastAsia"/>
          <w:noProof/>
          <w:szCs w:val="24"/>
          <w:lang w:eastAsia="en-IE"/>
        </w:rPr>
        <w:t>Th</w:t>
      </w:r>
      <w:r>
        <w:rPr>
          <w:rFonts w:eastAsiaTheme="minorEastAsia"/>
          <w:noProof/>
          <w:szCs w:val="24"/>
          <w:lang w:eastAsia="en-IE"/>
        </w:rPr>
        <w:t>is</w:t>
      </w:r>
      <w:r w:rsidRPr="7B44DC00">
        <w:rPr>
          <w:rFonts w:eastAsiaTheme="minorEastAsia"/>
          <w:noProof/>
          <w:szCs w:val="24"/>
          <w:lang w:eastAsia="en-IE"/>
        </w:rPr>
        <w:t xml:space="preserve"> request </w:t>
      </w:r>
      <w:r>
        <w:rPr>
          <w:rFonts w:eastAsiaTheme="minorEastAsia"/>
          <w:noProof/>
          <w:szCs w:val="24"/>
          <w:lang w:eastAsia="en-IE"/>
        </w:rPr>
        <w:t>was issued in November 2025 and</w:t>
      </w:r>
      <w:r w:rsidRPr="7B44DC00">
        <w:rPr>
          <w:rFonts w:eastAsiaTheme="minorEastAsia"/>
          <w:noProof/>
          <w:szCs w:val="24"/>
          <w:lang w:eastAsia="en-IE"/>
        </w:rPr>
        <w:t xml:space="preserve"> covered two public procurement procedures launched for the construction of various sections of a motorway in Croatia. As the economic operator that was required to submit a prior notification did not comply with the reporting obligation, the relevant contracting authority issued a request to the economic operator concerned to submit a missing notification pursuant to </w:t>
      </w:r>
      <w:r w:rsidR="00E77877" w:rsidRPr="7B44DC00">
        <w:rPr>
          <w:rFonts w:eastAsiaTheme="minorEastAsia"/>
          <w:noProof/>
          <w:szCs w:val="24"/>
          <w:lang w:eastAsia="en-IE"/>
        </w:rPr>
        <w:t>Article</w:t>
      </w:r>
      <w:r w:rsidR="00E77877">
        <w:rPr>
          <w:rFonts w:eastAsiaTheme="minorEastAsia"/>
          <w:noProof/>
          <w:szCs w:val="24"/>
          <w:lang w:eastAsia="en-IE"/>
        </w:rPr>
        <w:t> </w:t>
      </w:r>
      <w:r w:rsidRPr="7B44DC00">
        <w:rPr>
          <w:rFonts w:eastAsiaTheme="minorEastAsia"/>
          <w:noProof/>
          <w:szCs w:val="24"/>
          <w:lang w:eastAsia="en-IE"/>
        </w:rPr>
        <w:t xml:space="preserve">29(3) FSR. </w:t>
      </w:r>
      <w:r>
        <w:rPr>
          <w:rFonts w:eastAsiaTheme="minorEastAsia"/>
          <w:noProof/>
          <w:szCs w:val="24"/>
          <w:lang w:eastAsia="en-IE"/>
        </w:rPr>
        <w:t xml:space="preserve">Ultimately, the contracting authority considered the tender inadmissible, inappropriate, and technically unacceptable, and excluded the economic operator from the procedure. </w:t>
      </w:r>
    </w:p>
    <w:p w14:paraId="3C6BBA37" w14:textId="77777777" w:rsidR="00C31F8E" w:rsidRPr="00EB7BFC" w:rsidRDefault="00C31F8E" w:rsidP="00836900">
      <w:pPr>
        <w:pStyle w:val="Heading4"/>
        <w:rPr>
          <w:noProof/>
        </w:rPr>
      </w:pPr>
      <w:bookmarkStart w:id="109" w:name="_Toc234227876"/>
      <w:r>
        <w:rPr>
          <w:noProof/>
        </w:rPr>
        <w:t>Detailed analysis of the Commission’s practice</w:t>
      </w:r>
      <w:bookmarkEnd w:id="109"/>
    </w:p>
    <w:p w14:paraId="0BD3AFF8" w14:textId="259505A2" w:rsidR="00C31F8E" w:rsidRDefault="00C31F8E" w:rsidP="00C31F8E">
      <w:pPr>
        <w:pStyle w:val="Text3"/>
        <w:ind w:left="0"/>
        <w:rPr>
          <w:noProof/>
        </w:rPr>
      </w:pPr>
      <w:r>
        <w:rPr>
          <w:noProof/>
        </w:rPr>
        <w:t xml:space="preserve">This section presents statistical data compiled as part of the </w:t>
      </w:r>
      <w:r w:rsidR="006F00A4">
        <w:rPr>
          <w:noProof/>
        </w:rPr>
        <w:t>Commission’s</w:t>
      </w:r>
      <w:r>
        <w:rPr>
          <w:noProof/>
        </w:rPr>
        <w:t xml:space="preserve"> internal analysis conducted for the purposes of the </w:t>
      </w:r>
      <w:r w:rsidR="001B23AE">
        <w:rPr>
          <w:noProof/>
        </w:rPr>
        <w:t>Report</w:t>
      </w:r>
      <w:r>
        <w:rPr>
          <w:noProof/>
        </w:rPr>
        <w:t>. The data analysed for public procurement cases</w:t>
      </w:r>
      <w:r w:rsidR="00FD1C7E">
        <w:rPr>
          <w:noProof/>
        </w:rPr>
        <w:t xml:space="preserve"> was</w:t>
      </w:r>
      <w:r>
        <w:rPr>
          <w:noProof/>
        </w:rPr>
        <w:t xml:space="preserve"> focus</w:t>
      </w:r>
      <w:r w:rsidR="00FD1C7E">
        <w:rPr>
          <w:noProof/>
        </w:rPr>
        <w:t>s</w:t>
      </w:r>
      <w:r>
        <w:rPr>
          <w:noProof/>
        </w:rPr>
        <w:t>ed on cases notified</w:t>
      </w:r>
      <w:r w:rsidR="0067219D">
        <w:rPr>
          <w:noProof/>
        </w:rPr>
        <w:t xml:space="preserve"> </w:t>
      </w:r>
      <w:r>
        <w:rPr>
          <w:noProof/>
        </w:rPr>
        <w:t>between October 2023 and January 2026</w:t>
      </w:r>
      <w:r w:rsidR="00230AD6" w:rsidRPr="00230AD6">
        <w:rPr>
          <w:noProof/>
        </w:rPr>
        <w:t> (</w:t>
      </w:r>
      <w:r>
        <w:rPr>
          <w:rStyle w:val="FootnoteReference"/>
          <w:noProof/>
        </w:rPr>
        <w:footnoteReference w:id="70"/>
      </w:r>
      <w:r w:rsidR="00230AD6">
        <w:rPr>
          <w:noProof/>
        </w:rPr>
        <w:t>)</w:t>
      </w:r>
      <w:r w:rsidR="00E77877">
        <w:rPr>
          <w:noProof/>
        </w:rPr>
        <w:t xml:space="preserve"> </w:t>
      </w:r>
      <w:r>
        <w:rPr>
          <w:noProof/>
        </w:rPr>
        <w:t xml:space="preserve">and summarises </w:t>
      </w:r>
      <w:r w:rsidR="00FD1C7E">
        <w:rPr>
          <w:noProof/>
        </w:rPr>
        <w:t xml:space="preserve">the </w:t>
      </w:r>
      <w:r>
        <w:rPr>
          <w:noProof/>
        </w:rPr>
        <w:t xml:space="preserve">data </w:t>
      </w:r>
      <w:r w:rsidR="00FD1C7E">
        <w:rPr>
          <w:noProof/>
        </w:rPr>
        <w:t xml:space="preserve">collected </w:t>
      </w:r>
      <w:r>
        <w:rPr>
          <w:noProof/>
        </w:rPr>
        <w:t>in the sections below.</w:t>
      </w:r>
    </w:p>
    <w:p w14:paraId="5312645B" w14:textId="4E248DA7" w:rsidR="00C31F8E" w:rsidRDefault="00C31F8E" w:rsidP="00C31F8E">
      <w:pPr>
        <w:rPr>
          <w:rFonts w:eastAsiaTheme="minorEastAsia"/>
          <w:noProof/>
          <w:szCs w:val="24"/>
          <w:lang w:eastAsia="en-IE"/>
        </w:rPr>
      </w:pPr>
      <w:r w:rsidRPr="0E95998B">
        <w:rPr>
          <w:rFonts w:eastAsiaTheme="minorEastAsia"/>
          <w:noProof/>
          <w:szCs w:val="24"/>
          <w:lang w:eastAsia="en-IE"/>
        </w:rPr>
        <w:t>Some statistical data derived from the FSR Review Study were included as well in the analysis. These statistics are presented in comparison with the internal statistics developed by the Commission. In instances where statistical data is available only from the FSR Review Study and not from the Commission’s internal data analysis, such data is presented as evidence contributing to the overall assessment.</w:t>
      </w:r>
    </w:p>
    <w:p w14:paraId="03A0D7CC" w14:textId="77777777" w:rsidR="00C31F8E" w:rsidRPr="00EE6039" w:rsidRDefault="00C31F8E" w:rsidP="00836900">
      <w:pPr>
        <w:pStyle w:val="Heading5"/>
        <w:rPr>
          <w:noProof/>
          <w:lang w:eastAsia="en-IE"/>
        </w:rPr>
      </w:pPr>
      <w:bookmarkStart w:id="110" w:name="_Toc228286492"/>
      <w:r>
        <w:rPr>
          <w:noProof/>
          <w:lang w:eastAsia="en-IE"/>
        </w:rPr>
        <w:t>Quantitative analysis of the Commission’s case practice</w:t>
      </w:r>
      <w:bookmarkEnd w:id="110"/>
    </w:p>
    <w:p w14:paraId="4C834D54" w14:textId="77777777" w:rsidR="00C31F8E" w:rsidRPr="000B35A8" w:rsidRDefault="00C31F8E" w:rsidP="006041B3">
      <w:pPr>
        <w:pStyle w:val="ListParagraph"/>
        <w:keepNext/>
        <w:numPr>
          <w:ilvl w:val="0"/>
          <w:numId w:val="217"/>
        </w:numPr>
        <w:ind w:left="714" w:hanging="357"/>
        <w:rPr>
          <w:noProof/>
          <w:lang w:eastAsia="en-IE"/>
        </w:rPr>
      </w:pPr>
      <w:bookmarkStart w:id="111" w:name="_Toc228286493"/>
      <w:r w:rsidRPr="00836900">
        <w:rPr>
          <w:i/>
          <w:iCs/>
          <w:noProof/>
          <w:lang w:eastAsia="en-IE"/>
        </w:rPr>
        <w:t>Submissions by sector</w:t>
      </w:r>
      <w:bookmarkEnd w:id="111"/>
      <w:r w:rsidRPr="00836900">
        <w:rPr>
          <w:i/>
          <w:iCs/>
          <w:noProof/>
          <w:lang w:eastAsia="en-IE"/>
        </w:rPr>
        <w:t xml:space="preserve"> </w:t>
      </w:r>
    </w:p>
    <w:p w14:paraId="643A6D66" w14:textId="7060D6F2" w:rsidR="00C31F8E" w:rsidRDefault="00C31F8E" w:rsidP="00C31F8E">
      <w:pPr>
        <w:pStyle w:val="Text2"/>
        <w:ind w:left="0"/>
        <w:rPr>
          <w:noProof/>
          <w:color w:val="000000" w:themeColor="text1"/>
        </w:rPr>
      </w:pPr>
      <w:r w:rsidRPr="561D86D4">
        <w:rPr>
          <w:noProof/>
          <w:color w:val="000000" w:themeColor="text1"/>
        </w:rPr>
        <w:t xml:space="preserve">The </w:t>
      </w:r>
      <w:r>
        <w:rPr>
          <w:noProof/>
          <w:color w:val="000000" w:themeColor="text1"/>
        </w:rPr>
        <w:t>Commission</w:t>
      </w:r>
      <w:r w:rsidRPr="0035722C">
        <w:rPr>
          <w:noProof/>
          <w:color w:val="000000" w:themeColor="text1"/>
        </w:rPr>
        <w:t xml:space="preserve"> </w:t>
      </w:r>
      <w:r w:rsidR="001E3537">
        <w:rPr>
          <w:noProof/>
          <w:color w:val="000000" w:themeColor="text1"/>
        </w:rPr>
        <w:t>services</w:t>
      </w:r>
      <w:r w:rsidRPr="0035722C">
        <w:rPr>
          <w:noProof/>
          <w:color w:val="000000" w:themeColor="text1"/>
        </w:rPr>
        <w:t xml:space="preserve"> </w:t>
      </w:r>
      <w:r>
        <w:rPr>
          <w:noProof/>
          <w:color w:val="000000" w:themeColor="text1"/>
        </w:rPr>
        <w:t>identified the</w:t>
      </w:r>
      <w:r w:rsidRPr="0035722C">
        <w:rPr>
          <w:noProof/>
          <w:color w:val="000000" w:themeColor="text1"/>
        </w:rPr>
        <w:t xml:space="preserve"> industrial sectors </w:t>
      </w:r>
      <w:r>
        <w:rPr>
          <w:noProof/>
          <w:color w:val="000000" w:themeColor="text1"/>
        </w:rPr>
        <w:t xml:space="preserve">in which submissions were most frequently received in large public </w:t>
      </w:r>
      <w:r w:rsidRPr="0035722C">
        <w:rPr>
          <w:noProof/>
          <w:color w:val="000000" w:themeColor="text1"/>
        </w:rPr>
        <w:t xml:space="preserve">procurement </w:t>
      </w:r>
      <w:r>
        <w:rPr>
          <w:noProof/>
          <w:color w:val="000000" w:themeColor="text1"/>
        </w:rPr>
        <w:t>procedures</w:t>
      </w:r>
      <w:r w:rsidRPr="0035722C">
        <w:rPr>
          <w:noProof/>
          <w:color w:val="000000" w:themeColor="text1"/>
        </w:rPr>
        <w:t xml:space="preserve">. </w:t>
      </w:r>
      <w:r>
        <w:rPr>
          <w:noProof/>
          <w:color w:val="000000" w:themeColor="text1"/>
        </w:rPr>
        <w:t xml:space="preserve">To determine the sector to which a submission belongs, the Commission </w:t>
      </w:r>
      <w:r w:rsidR="00E77877">
        <w:rPr>
          <w:noProof/>
          <w:color w:val="000000" w:themeColor="text1"/>
        </w:rPr>
        <w:t xml:space="preserve">services </w:t>
      </w:r>
      <w:r>
        <w:rPr>
          <w:noProof/>
          <w:color w:val="000000" w:themeColor="text1"/>
        </w:rPr>
        <w:t xml:space="preserve">use the main </w:t>
      </w:r>
      <w:r w:rsidRPr="009B76A5">
        <w:rPr>
          <w:noProof/>
          <w:color w:val="000000" w:themeColor="text1"/>
          <w:lang w:val="en-US"/>
        </w:rPr>
        <w:t>Common Procurement Vocabulary</w:t>
      </w:r>
      <w:r>
        <w:rPr>
          <w:noProof/>
          <w:color w:val="000000" w:themeColor="text1"/>
        </w:rPr>
        <w:t xml:space="preserve"> (CPV) codes</w:t>
      </w:r>
      <w:r w:rsidR="00230AD6" w:rsidRPr="00230AD6">
        <w:rPr>
          <w:noProof/>
          <w:color w:val="000000" w:themeColor="text1"/>
        </w:rPr>
        <w:t> (</w:t>
      </w:r>
      <w:r>
        <w:rPr>
          <w:rStyle w:val="FootnoteReference"/>
          <w:noProof/>
          <w:color w:val="000000" w:themeColor="text1"/>
        </w:rPr>
        <w:footnoteReference w:id="71"/>
      </w:r>
      <w:r w:rsidR="00230AD6">
        <w:rPr>
          <w:noProof/>
          <w:color w:val="000000" w:themeColor="text1"/>
        </w:rPr>
        <w:t>)</w:t>
      </w:r>
      <w:r>
        <w:rPr>
          <w:noProof/>
          <w:color w:val="000000" w:themeColor="text1"/>
        </w:rPr>
        <w:t xml:space="preserve"> indicated by the contracting authority</w:t>
      </w:r>
      <w:r w:rsidR="00230AD6" w:rsidRPr="00230AD6">
        <w:rPr>
          <w:noProof/>
          <w:color w:val="000000" w:themeColor="text1"/>
        </w:rPr>
        <w:t> (</w:t>
      </w:r>
      <w:r>
        <w:rPr>
          <w:rStyle w:val="FootnoteReference"/>
          <w:noProof/>
          <w:color w:val="000000" w:themeColor="text1"/>
        </w:rPr>
        <w:footnoteReference w:id="72"/>
      </w:r>
      <w:r w:rsidR="00230AD6">
        <w:rPr>
          <w:noProof/>
          <w:color w:val="000000" w:themeColor="text1"/>
        </w:rPr>
        <w:t>)</w:t>
      </w:r>
      <w:r>
        <w:rPr>
          <w:noProof/>
          <w:color w:val="000000" w:themeColor="text1"/>
        </w:rPr>
        <w:t xml:space="preserve"> in the contract notice published in Tenders Electronic Daily (TED)</w:t>
      </w:r>
      <w:r w:rsidR="00230AD6" w:rsidRPr="00230AD6">
        <w:rPr>
          <w:noProof/>
          <w:color w:val="000000" w:themeColor="text1"/>
        </w:rPr>
        <w:t> (</w:t>
      </w:r>
      <w:r>
        <w:rPr>
          <w:rStyle w:val="FootnoteReference"/>
          <w:noProof/>
          <w:color w:val="000000" w:themeColor="text1"/>
        </w:rPr>
        <w:footnoteReference w:id="73"/>
      </w:r>
      <w:r w:rsidR="00230AD6">
        <w:rPr>
          <w:noProof/>
          <w:color w:val="000000" w:themeColor="text1"/>
        </w:rPr>
        <w:t>)</w:t>
      </w:r>
      <w:r>
        <w:rPr>
          <w:noProof/>
          <w:color w:val="000000" w:themeColor="text1"/>
        </w:rPr>
        <w:t xml:space="preserve">. </w:t>
      </w:r>
      <w:r>
        <w:rPr>
          <w:noProof/>
          <w:color w:val="000000" w:themeColor="text1"/>
          <w:lang w:val="en-US"/>
        </w:rPr>
        <w:t>As</w:t>
      </w:r>
      <w:r w:rsidRPr="00BF10CB">
        <w:rPr>
          <w:noProof/>
          <w:color w:val="000000" w:themeColor="text1"/>
          <w:lang w:val="en-US"/>
        </w:rPr>
        <w:t xml:space="preserve"> contracting authorities use CPV codes with varying degrees of </w:t>
      </w:r>
      <w:r w:rsidR="00FD1C7E">
        <w:rPr>
          <w:noProof/>
          <w:color w:val="000000" w:themeColor="text1"/>
          <w:lang w:val="en-US"/>
        </w:rPr>
        <w:t>granularity</w:t>
      </w:r>
      <w:r w:rsidRPr="00BF10CB">
        <w:rPr>
          <w:noProof/>
          <w:color w:val="000000" w:themeColor="text1"/>
          <w:lang w:val="en-US"/>
        </w:rPr>
        <w:t xml:space="preserve">, specific codes </w:t>
      </w:r>
      <w:r w:rsidR="00E77877">
        <w:rPr>
          <w:noProof/>
          <w:color w:val="000000" w:themeColor="text1"/>
          <w:lang w:val="en-US"/>
        </w:rPr>
        <w:t xml:space="preserve">were grouped </w:t>
      </w:r>
      <w:r w:rsidRPr="00BF10CB">
        <w:rPr>
          <w:noProof/>
          <w:color w:val="000000" w:themeColor="text1"/>
          <w:lang w:val="en-US"/>
        </w:rPr>
        <w:t>into their broader parent categories for consistency</w:t>
      </w:r>
      <w:r>
        <w:rPr>
          <w:noProof/>
          <w:color w:val="000000" w:themeColor="text1"/>
        </w:rPr>
        <w:t xml:space="preserve">. These are then classified under six main categories: </w:t>
      </w:r>
      <w:r w:rsidR="007345F2">
        <w:rPr>
          <w:noProof/>
          <w:color w:val="000000" w:themeColor="text1"/>
        </w:rPr>
        <w:t>c</w:t>
      </w:r>
      <w:r>
        <w:rPr>
          <w:noProof/>
          <w:color w:val="000000" w:themeColor="text1"/>
        </w:rPr>
        <w:t xml:space="preserve">onstruction, </w:t>
      </w:r>
      <w:r w:rsidR="007345F2" w:rsidRPr="006041B3">
        <w:rPr>
          <w:noProof/>
          <w:color w:val="000000" w:themeColor="text1"/>
        </w:rPr>
        <w:t>e</w:t>
      </w:r>
      <w:r w:rsidRPr="006041B3">
        <w:rPr>
          <w:noProof/>
          <w:color w:val="000000" w:themeColor="text1"/>
        </w:rPr>
        <w:t xml:space="preserve">nergy, </w:t>
      </w:r>
      <w:r w:rsidR="007345F2" w:rsidRPr="006041B3">
        <w:rPr>
          <w:noProof/>
          <w:color w:val="000000" w:themeColor="text1"/>
        </w:rPr>
        <w:t>h</w:t>
      </w:r>
      <w:r w:rsidRPr="006041B3">
        <w:rPr>
          <w:noProof/>
          <w:color w:val="000000" w:themeColor="text1"/>
        </w:rPr>
        <w:t xml:space="preserve">ealth, </w:t>
      </w:r>
      <w:r w:rsidR="007345F2" w:rsidRPr="006041B3">
        <w:rPr>
          <w:noProof/>
          <w:color w:val="000000" w:themeColor="text1"/>
        </w:rPr>
        <w:t>i</w:t>
      </w:r>
      <w:r w:rsidRPr="006041B3">
        <w:rPr>
          <w:noProof/>
          <w:color w:val="000000" w:themeColor="text1"/>
        </w:rPr>
        <w:t xml:space="preserve">nformation and </w:t>
      </w:r>
      <w:r w:rsidR="007345F2" w:rsidRPr="006041B3">
        <w:rPr>
          <w:noProof/>
          <w:color w:val="000000" w:themeColor="text1"/>
        </w:rPr>
        <w:t>c</w:t>
      </w:r>
      <w:r w:rsidRPr="006041B3">
        <w:rPr>
          <w:noProof/>
          <w:color w:val="000000" w:themeColor="text1"/>
        </w:rPr>
        <w:t xml:space="preserve">ommunication </w:t>
      </w:r>
      <w:r w:rsidR="007345F2" w:rsidRPr="006041B3">
        <w:rPr>
          <w:noProof/>
          <w:color w:val="000000" w:themeColor="text1"/>
        </w:rPr>
        <w:t>t</w:t>
      </w:r>
      <w:r w:rsidRPr="006041B3">
        <w:rPr>
          <w:noProof/>
          <w:color w:val="000000" w:themeColor="text1"/>
        </w:rPr>
        <w:t xml:space="preserve">echnology (ICT), </w:t>
      </w:r>
      <w:r w:rsidR="007345F2" w:rsidRPr="006041B3">
        <w:rPr>
          <w:noProof/>
          <w:color w:val="000000" w:themeColor="text1"/>
        </w:rPr>
        <w:t>t</w:t>
      </w:r>
      <w:r w:rsidRPr="006041B3">
        <w:rPr>
          <w:noProof/>
          <w:color w:val="000000" w:themeColor="text1"/>
        </w:rPr>
        <w:t xml:space="preserve">ransport and </w:t>
      </w:r>
      <w:r w:rsidR="007345F2" w:rsidRPr="006041B3">
        <w:rPr>
          <w:noProof/>
          <w:color w:val="000000" w:themeColor="text1"/>
        </w:rPr>
        <w:t>o</w:t>
      </w:r>
      <w:r w:rsidRPr="006041B3">
        <w:rPr>
          <w:noProof/>
          <w:color w:val="000000" w:themeColor="text1"/>
        </w:rPr>
        <w:t xml:space="preserve">ther. </w:t>
      </w:r>
    </w:p>
    <w:p w14:paraId="04520268" w14:textId="500B6E17" w:rsidR="00B0754D" w:rsidRDefault="00B0754D" w:rsidP="008217D4">
      <w:pPr>
        <w:pStyle w:val="Caption"/>
        <w:rPr>
          <w:noProof/>
          <w:color w:val="000000" w:themeColor="text1"/>
        </w:rPr>
      </w:pPr>
      <w:r>
        <w:rPr>
          <w:noProof/>
        </w:rPr>
        <w:t xml:space="preserve">Figure </w:t>
      </w:r>
      <w:r>
        <w:rPr>
          <w:noProof/>
        </w:rPr>
        <w:fldChar w:fldCharType="begin"/>
      </w:r>
      <w:r>
        <w:rPr>
          <w:noProof/>
        </w:rPr>
        <w:instrText xml:space="preserve"> SEQ Figure \* ARABIC </w:instrText>
      </w:r>
      <w:r>
        <w:rPr>
          <w:noProof/>
        </w:rPr>
        <w:fldChar w:fldCharType="separate"/>
      </w:r>
      <w:r w:rsidR="00227418">
        <w:rPr>
          <w:noProof/>
        </w:rPr>
        <w:t>8</w:t>
      </w:r>
      <w:r>
        <w:rPr>
          <w:noProof/>
        </w:rPr>
        <w:fldChar w:fldCharType="end"/>
      </w:r>
      <w:r w:rsidRPr="002248F8">
        <w:rPr>
          <w:noProof/>
        </w:rPr>
        <w:t>:</w:t>
      </w:r>
      <w:r>
        <w:rPr>
          <w:noProof/>
        </w:rPr>
        <w:t xml:space="preserve"> Submissions per sector in public procurement</w:t>
      </w:r>
    </w:p>
    <w:p w14:paraId="4C38CA6B" w14:textId="77777777" w:rsidR="00C31F8E" w:rsidRDefault="00C31F8E" w:rsidP="00006AC7">
      <w:pPr>
        <w:pStyle w:val="Figure"/>
        <w:jc w:val="center"/>
        <w:rPr>
          <w:noProof/>
          <w:color w:val="000000" w:themeColor="text1"/>
        </w:rPr>
      </w:pPr>
      <w:r>
        <w:rPr>
          <w:noProof/>
          <w:lang w:eastAsia="en-GB"/>
        </w:rPr>
        <w:drawing>
          <wp:inline distT="0" distB="0" distL="0" distR="0" wp14:anchorId="593328CC" wp14:editId="145DF18F">
            <wp:extent cx="3443288" cy="2100263"/>
            <wp:effectExtent l="0" t="0" r="5080" b="0"/>
            <wp:docPr id="1178135622" name="Chart 1">
              <a:extLst xmlns:a="http://schemas.openxmlformats.org/drawingml/2006/main">
                <a:ext uri="{FF2B5EF4-FFF2-40B4-BE49-F238E27FC236}">
                  <a16:creationId xmlns:a16="http://schemas.microsoft.com/office/drawing/2014/main" id="{07357F12-851D-D7CE-06C4-C4A6EA0E83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9BA4D54" w14:textId="4A55EEEF" w:rsidR="00C31F8E" w:rsidRPr="00C65255" w:rsidRDefault="0057334A" w:rsidP="00FF6589">
      <w:pPr>
        <w:pStyle w:val="Source"/>
        <w:rPr>
          <w:noProof/>
          <w:lang w:eastAsia="en-IE"/>
        </w:rPr>
      </w:pPr>
      <w:r w:rsidRPr="00C65255">
        <w:rPr>
          <w:noProof/>
          <w:lang w:eastAsia="en-IE"/>
        </w:rPr>
        <w:t>Source: Commission services</w:t>
      </w:r>
      <w:r w:rsidR="00E77877">
        <w:rPr>
          <w:noProof/>
          <w:lang w:eastAsia="en-IE"/>
        </w:rPr>
        <w:t>.</w:t>
      </w:r>
    </w:p>
    <w:p w14:paraId="3B355CEB" w14:textId="35DAA2A2" w:rsidR="00C31F8E" w:rsidRPr="001221D7" w:rsidRDefault="00C31F8E" w:rsidP="00C31F8E">
      <w:pPr>
        <w:rPr>
          <w:noProof/>
          <w:color w:val="000000" w:themeColor="text1"/>
          <w:szCs w:val="24"/>
          <w:lang w:eastAsia="en-IE"/>
        </w:rPr>
      </w:pPr>
      <w:r w:rsidRPr="4CD03A44">
        <w:rPr>
          <w:noProof/>
          <w:color w:val="000000" w:themeColor="text1"/>
          <w:szCs w:val="24"/>
          <w:lang w:eastAsia="en-IE"/>
        </w:rPr>
        <w:t xml:space="preserve">As outlined above, </w:t>
      </w:r>
      <w:bookmarkStart w:id="112" w:name="_Hlk228808986"/>
      <w:r w:rsidRPr="4CD03A44">
        <w:rPr>
          <w:noProof/>
          <w:color w:val="000000" w:themeColor="text1"/>
          <w:szCs w:val="24"/>
          <w:lang w:eastAsia="en-IE"/>
        </w:rPr>
        <w:t xml:space="preserve">the </w:t>
      </w:r>
      <w:r>
        <w:rPr>
          <w:noProof/>
          <w:color w:val="000000" w:themeColor="text1"/>
          <w:szCs w:val="24"/>
          <w:lang w:eastAsia="en-IE"/>
        </w:rPr>
        <w:t>most common</w:t>
      </w:r>
      <w:r w:rsidRPr="4CD03A44">
        <w:rPr>
          <w:noProof/>
          <w:color w:val="000000" w:themeColor="text1"/>
          <w:szCs w:val="24"/>
          <w:lang w:eastAsia="en-IE"/>
        </w:rPr>
        <w:t xml:space="preserve"> sectors identified </w:t>
      </w:r>
      <w:r w:rsidRPr="1E38BB57">
        <w:rPr>
          <w:noProof/>
          <w:color w:val="000000" w:themeColor="text1"/>
          <w:szCs w:val="24"/>
          <w:lang w:eastAsia="en-IE"/>
        </w:rPr>
        <w:t>through</w:t>
      </w:r>
      <w:r w:rsidRPr="0F577C34">
        <w:rPr>
          <w:noProof/>
          <w:color w:val="000000" w:themeColor="text1"/>
          <w:szCs w:val="24"/>
          <w:lang w:eastAsia="en-IE"/>
        </w:rPr>
        <w:t xml:space="preserve"> submissions are </w:t>
      </w:r>
      <w:r w:rsidR="007345F2">
        <w:rPr>
          <w:noProof/>
          <w:color w:val="000000" w:themeColor="text1"/>
          <w:szCs w:val="24"/>
          <w:lang w:eastAsia="en-IE"/>
        </w:rPr>
        <w:t>c</w:t>
      </w:r>
      <w:r w:rsidRPr="0F577C34">
        <w:rPr>
          <w:noProof/>
          <w:color w:val="000000" w:themeColor="text1"/>
          <w:szCs w:val="24"/>
          <w:lang w:eastAsia="en-IE"/>
        </w:rPr>
        <w:t>onstruction</w:t>
      </w:r>
      <w:r w:rsidRPr="1E38BB57">
        <w:rPr>
          <w:noProof/>
          <w:color w:val="000000" w:themeColor="text1"/>
          <w:szCs w:val="24"/>
          <w:lang w:eastAsia="en-IE"/>
        </w:rPr>
        <w:t xml:space="preserve"> (26.1 % of the number of submissions)</w:t>
      </w:r>
      <w:r w:rsidRPr="0F577C34">
        <w:rPr>
          <w:noProof/>
          <w:color w:val="000000" w:themeColor="text1"/>
          <w:szCs w:val="24"/>
          <w:lang w:eastAsia="en-IE"/>
        </w:rPr>
        <w:t xml:space="preserve">, </w:t>
      </w:r>
      <w:r w:rsidR="007345F2">
        <w:rPr>
          <w:noProof/>
          <w:color w:val="000000" w:themeColor="text1"/>
          <w:szCs w:val="24"/>
          <w:lang w:eastAsia="en-IE"/>
        </w:rPr>
        <w:t>e</w:t>
      </w:r>
      <w:r w:rsidRPr="0F577C34">
        <w:rPr>
          <w:noProof/>
          <w:color w:val="000000" w:themeColor="text1"/>
          <w:szCs w:val="24"/>
          <w:lang w:eastAsia="en-IE"/>
        </w:rPr>
        <w:t>nergy</w:t>
      </w:r>
      <w:r w:rsidRPr="1E38BB57">
        <w:rPr>
          <w:noProof/>
          <w:color w:val="000000" w:themeColor="text1"/>
          <w:szCs w:val="24"/>
          <w:lang w:eastAsia="en-IE"/>
        </w:rPr>
        <w:t xml:space="preserve"> (9.5 %)</w:t>
      </w:r>
      <w:r w:rsidRPr="0F577C34">
        <w:rPr>
          <w:noProof/>
          <w:color w:val="000000" w:themeColor="text1"/>
          <w:szCs w:val="24"/>
          <w:lang w:eastAsia="en-IE"/>
        </w:rPr>
        <w:t xml:space="preserve">, </w:t>
      </w:r>
      <w:r w:rsidR="007345F2">
        <w:rPr>
          <w:noProof/>
          <w:color w:val="000000" w:themeColor="text1"/>
          <w:szCs w:val="24"/>
          <w:lang w:eastAsia="en-IE"/>
        </w:rPr>
        <w:t>h</w:t>
      </w:r>
      <w:r w:rsidRPr="0F577C34">
        <w:rPr>
          <w:noProof/>
          <w:color w:val="000000" w:themeColor="text1"/>
          <w:szCs w:val="24"/>
          <w:lang w:eastAsia="en-IE"/>
        </w:rPr>
        <w:t>ealth</w:t>
      </w:r>
      <w:r w:rsidRPr="1E38BB57">
        <w:rPr>
          <w:noProof/>
          <w:color w:val="000000" w:themeColor="text1"/>
          <w:szCs w:val="24"/>
          <w:lang w:eastAsia="en-IE"/>
        </w:rPr>
        <w:t xml:space="preserve"> (10.0 %)</w:t>
      </w:r>
      <w:r w:rsidRPr="0F577C34">
        <w:rPr>
          <w:noProof/>
          <w:color w:val="000000" w:themeColor="text1"/>
          <w:szCs w:val="24"/>
          <w:lang w:eastAsia="en-IE"/>
        </w:rPr>
        <w:t xml:space="preserve">, ICT </w:t>
      </w:r>
      <w:r w:rsidRPr="1E38BB57">
        <w:rPr>
          <w:noProof/>
          <w:color w:val="000000" w:themeColor="text1"/>
          <w:szCs w:val="24"/>
          <w:lang w:eastAsia="en-IE"/>
        </w:rPr>
        <w:t xml:space="preserve">(23.6 %) </w:t>
      </w:r>
      <w:r w:rsidRPr="0F577C34">
        <w:rPr>
          <w:noProof/>
          <w:color w:val="000000" w:themeColor="text1"/>
          <w:szCs w:val="24"/>
          <w:lang w:eastAsia="en-IE"/>
        </w:rPr>
        <w:t xml:space="preserve">and </w:t>
      </w:r>
      <w:r w:rsidR="007345F2">
        <w:rPr>
          <w:noProof/>
          <w:color w:val="000000" w:themeColor="text1"/>
          <w:szCs w:val="24"/>
          <w:lang w:eastAsia="en-IE"/>
        </w:rPr>
        <w:t>t</w:t>
      </w:r>
      <w:r w:rsidRPr="0F577C34">
        <w:rPr>
          <w:noProof/>
          <w:color w:val="000000" w:themeColor="text1"/>
          <w:szCs w:val="24"/>
          <w:lang w:eastAsia="en-IE"/>
        </w:rPr>
        <w:t>ransport</w:t>
      </w:r>
      <w:r w:rsidRPr="1E38BB57">
        <w:rPr>
          <w:noProof/>
          <w:color w:val="000000" w:themeColor="text1"/>
          <w:szCs w:val="24"/>
          <w:lang w:eastAsia="en-IE"/>
        </w:rPr>
        <w:t xml:space="preserve"> (13.4 %)</w:t>
      </w:r>
      <w:r w:rsidRPr="0F577C34">
        <w:rPr>
          <w:noProof/>
          <w:color w:val="000000" w:themeColor="text1"/>
          <w:szCs w:val="24"/>
          <w:lang w:eastAsia="en-IE"/>
        </w:rPr>
        <w:t>.</w:t>
      </w:r>
      <w:bookmarkEnd w:id="112"/>
    </w:p>
    <w:p w14:paraId="093A6F34" w14:textId="77777777" w:rsidR="00C31F8E" w:rsidRPr="000B35A8" w:rsidRDefault="00C31F8E" w:rsidP="006041B3">
      <w:pPr>
        <w:pStyle w:val="ListParagraph"/>
        <w:keepNext/>
        <w:numPr>
          <w:ilvl w:val="0"/>
          <w:numId w:val="217"/>
        </w:numPr>
        <w:ind w:left="714" w:hanging="357"/>
        <w:rPr>
          <w:noProof/>
          <w:lang w:eastAsia="en-IE"/>
        </w:rPr>
      </w:pPr>
      <w:bookmarkStart w:id="113" w:name="_Toc228286494"/>
      <w:r w:rsidRPr="00836900">
        <w:rPr>
          <w:i/>
          <w:noProof/>
          <w:lang w:eastAsia="en-IE"/>
        </w:rPr>
        <w:t>Procedures and submissions per Member State</w:t>
      </w:r>
      <w:bookmarkEnd w:id="113"/>
    </w:p>
    <w:p w14:paraId="1599E7E0" w14:textId="4CF6A136" w:rsidR="00FF6589" w:rsidRDefault="00C31F8E" w:rsidP="00F70F9E">
      <w:pPr>
        <w:spacing w:after="160" w:line="259" w:lineRule="auto"/>
        <w:rPr>
          <w:noProof/>
          <w:color w:val="000000" w:themeColor="text1"/>
        </w:rPr>
      </w:pPr>
      <w:r>
        <w:rPr>
          <w:noProof/>
          <w:color w:val="000000" w:themeColor="text1"/>
          <w:lang w:val="en-US"/>
        </w:rPr>
        <w:t xml:space="preserve">First, </w:t>
      </w:r>
      <w:r>
        <w:rPr>
          <w:noProof/>
          <w:color w:val="000000" w:themeColor="text1"/>
        </w:rPr>
        <w:t xml:space="preserve">concerning the number of public procurement procedures of an estimated value of at least </w:t>
      </w:r>
      <w:r w:rsidR="008604C5">
        <w:rPr>
          <w:noProof/>
          <w:color w:val="000000" w:themeColor="text1"/>
        </w:rPr>
        <w:t>EUR 250 million</w:t>
      </w:r>
      <w:r w:rsidR="008604C5" w:rsidRPr="408968D0">
        <w:rPr>
          <w:noProof/>
          <w:color w:val="000000" w:themeColor="text1"/>
        </w:rPr>
        <w:t xml:space="preserve"> </w:t>
      </w:r>
      <w:r w:rsidR="008604C5">
        <w:rPr>
          <w:noProof/>
          <w:color w:val="000000" w:themeColor="text1"/>
        </w:rPr>
        <w:t xml:space="preserve">net of VAT </w:t>
      </w:r>
      <w:r w:rsidRPr="408968D0">
        <w:rPr>
          <w:noProof/>
          <w:color w:val="000000" w:themeColor="text1"/>
        </w:rPr>
        <w:t>for</w:t>
      </w:r>
      <w:r>
        <w:rPr>
          <w:noProof/>
          <w:color w:val="000000" w:themeColor="text1"/>
        </w:rPr>
        <w:t xml:space="preserve"> which the Commission received </w:t>
      </w:r>
      <w:r w:rsidRPr="15D5DEB9">
        <w:rPr>
          <w:noProof/>
          <w:color w:val="000000" w:themeColor="text1"/>
        </w:rPr>
        <w:t xml:space="preserve">a </w:t>
      </w:r>
      <w:r>
        <w:rPr>
          <w:noProof/>
          <w:color w:val="000000" w:themeColor="text1"/>
        </w:rPr>
        <w:t>submission</w:t>
      </w:r>
      <w:r w:rsidR="00B25846" w:rsidRPr="00B25846">
        <w:rPr>
          <w:noProof/>
          <w:color w:val="000000" w:themeColor="text1"/>
        </w:rPr>
        <w:t> (</w:t>
      </w:r>
      <w:r w:rsidR="00B25846">
        <w:rPr>
          <w:rStyle w:val="FootnoteReference"/>
          <w:noProof/>
          <w:color w:val="000000" w:themeColor="text1"/>
        </w:rPr>
        <w:footnoteReference w:id="74"/>
      </w:r>
      <w:r w:rsidR="00B25846">
        <w:rPr>
          <w:noProof/>
          <w:color w:val="000000" w:themeColor="text1"/>
        </w:rPr>
        <w:t>)</w:t>
      </w:r>
      <w:r>
        <w:rPr>
          <w:noProof/>
          <w:color w:val="000000" w:themeColor="text1"/>
        </w:rPr>
        <w:t xml:space="preserve">, </w:t>
      </w:r>
      <w:r>
        <w:rPr>
          <w:noProof/>
          <w:color w:val="000000" w:themeColor="text1"/>
          <w:lang w:val="en-US"/>
        </w:rPr>
        <w:t>in total there were 730 public procurement procedures.</w:t>
      </w:r>
      <w:r>
        <w:rPr>
          <w:noProof/>
          <w:color w:val="000000" w:themeColor="text1"/>
        </w:rPr>
        <w:t xml:space="preserve"> </w:t>
      </w:r>
      <w:bookmarkStart w:id="114" w:name="_Hlk228809132"/>
      <w:r>
        <w:rPr>
          <w:noProof/>
          <w:color w:val="000000" w:themeColor="text1"/>
        </w:rPr>
        <w:t>The three Member States where the number of such public procurement procedures was the highest accounted for 53% of the total number of procedures (in total 389 public procurement procedures). These three Member States are Germany, France and Italy</w:t>
      </w:r>
      <w:bookmarkEnd w:id="114"/>
      <w:r>
        <w:rPr>
          <w:noProof/>
          <w:color w:val="000000" w:themeColor="text1"/>
        </w:rPr>
        <w:t xml:space="preserve">. </w:t>
      </w:r>
      <w:r w:rsidR="008604C5" w:rsidRPr="00080A44">
        <w:rPr>
          <w:noProof/>
          <w:color w:val="000000" w:themeColor="text1"/>
        </w:rPr>
        <w:t xml:space="preserve">At the same time, there are five Member States that have not yet transferred any submission in a </w:t>
      </w:r>
      <w:r w:rsidR="008604C5" w:rsidRPr="373B4ECA">
        <w:rPr>
          <w:noProof/>
          <w:color w:val="000000" w:themeColor="text1"/>
        </w:rPr>
        <w:t xml:space="preserve">public procurement procedure that would fall under </w:t>
      </w:r>
      <w:r w:rsidR="008604C5">
        <w:rPr>
          <w:noProof/>
          <w:color w:val="000000" w:themeColor="text1"/>
        </w:rPr>
        <w:t xml:space="preserve">the </w:t>
      </w:r>
      <w:r w:rsidR="008604C5" w:rsidRPr="373B4ECA">
        <w:rPr>
          <w:noProof/>
          <w:color w:val="000000" w:themeColor="text1"/>
        </w:rPr>
        <w:t>FSR</w:t>
      </w:r>
      <w:r w:rsidR="008604C5">
        <w:rPr>
          <w:noProof/>
          <w:color w:val="000000" w:themeColor="text1"/>
        </w:rPr>
        <w:t>, which may be justified if a Member State has not initiated any public procurement procedure meeting that threshold</w:t>
      </w:r>
      <w:r>
        <w:rPr>
          <w:noProof/>
          <w:color w:val="000000" w:themeColor="text1"/>
        </w:rPr>
        <w:t xml:space="preserve">. This demonstrates a significant difference between the number of public procurement procedures that reach the value of </w:t>
      </w:r>
      <w:r w:rsidR="00E77877">
        <w:rPr>
          <w:noProof/>
          <w:color w:val="000000" w:themeColor="text1"/>
        </w:rPr>
        <w:t>EUR </w:t>
      </w:r>
      <w:r>
        <w:rPr>
          <w:noProof/>
          <w:color w:val="000000" w:themeColor="text1"/>
        </w:rPr>
        <w:t xml:space="preserve">250 million among Member States. </w:t>
      </w:r>
      <w:r w:rsidRPr="00901023">
        <w:rPr>
          <w:noProof/>
          <w:color w:val="000000" w:themeColor="text1"/>
        </w:rPr>
        <w:t>Th</w:t>
      </w:r>
      <w:r>
        <w:rPr>
          <w:noProof/>
          <w:color w:val="000000" w:themeColor="text1"/>
        </w:rPr>
        <w:t>is</w:t>
      </w:r>
      <w:r w:rsidRPr="00901023">
        <w:rPr>
          <w:noProof/>
          <w:color w:val="000000" w:themeColor="text1"/>
        </w:rPr>
        <w:t xml:space="preserve"> variation across Member States may reflect differences in the </w:t>
      </w:r>
      <w:r>
        <w:rPr>
          <w:noProof/>
          <w:color w:val="000000" w:themeColor="text1"/>
        </w:rPr>
        <w:t xml:space="preserve">size of public projects, in the </w:t>
      </w:r>
      <w:r w:rsidRPr="00901023">
        <w:rPr>
          <w:noProof/>
          <w:color w:val="000000" w:themeColor="text1"/>
        </w:rPr>
        <w:t>organisation of procurement procedures (</w:t>
      </w:r>
      <w:r>
        <w:rPr>
          <w:noProof/>
          <w:color w:val="000000" w:themeColor="text1"/>
        </w:rPr>
        <w:t>carried out by central purchasing bodies</w:t>
      </w:r>
      <w:r w:rsidRPr="00901023">
        <w:rPr>
          <w:noProof/>
          <w:color w:val="000000" w:themeColor="text1"/>
        </w:rPr>
        <w:t xml:space="preserve"> or </w:t>
      </w:r>
      <w:r>
        <w:rPr>
          <w:noProof/>
          <w:color w:val="000000" w:themeColor="text1"/>
        </w:rPr>
        <w:t xml:space="preserve">individually per contracting authority). At the same time, it </w:t>
      </w:r>
      <w:r w:rsidR="00A321A1">
        <w:rPr>
          <w:noProof/>
          <w:color w:val="000000" w:themeColor="text1"/>
        </w:rPr>
        <w:t>may</w:t>
      </w:r>
      <w:r>
        <w:rPr>
          <w:noProof/>
          <w:color w:val="000000" w:themeColor="text1"/>
        </w:rPr>
        <w:t xml:space="preserve"> also underscore a fragmented understanding of the FSR reporting obligation, as well as the potential lack of sufficient administrative capacity</w:t>
      </w:r>
      <w:r w:rsidRPr="00901023">
        <w:rPr>
          <w:noProof/>
          <w:color w:val="000000" w:themeColor="text1"/>
        </w:rPr>
        <w:t>.</w:t>
      </w:r>
      <w:r w:rsidR="00785909">
        <w:rPr>
          <w:noProof/>
          <w:color w:val="000000" w:themeColor="text1"/>
        </w:rPr>
        <w:t xml:space="preserve"> </w:t>
      </w:r>
    </w:p>
    <w:p w14:paraId="1811AE01" w14:textId="769FC668" w:rsidR="00B0754D" w:rsidRDefault="008A3E77" w:rsidP="000E15D4">
      <w:pPr>
        <w:pStyle w:val="Caption"/>
        <w:rPr>
          <w:noProof/>
          <w:color w:val="000000" w:themeColor="text1"/>
        </w:rPr>
      </w:pPr>
      <w:r>
        <w:rPr>
          <w:noProof/>
          <w:lang w:eastAsia="en-GB"/>
        </w:rPr>
        <w:drawing>
          <wp:anchor distT="0" distB="0" distL="114300" distR="114300" simplePos="0" relativeHeight="251658241" behindDoc="0" locked="0" layoutInCell="1" allowOverlap="1" wp14:anchorId="2ACC0A1B" wp14:editId="79770AC2">
            <wp:simplePos x="0" y="0"/>
            <wp:positionH relativeFrom="margin">
              <wp:align>left</wp:align>
            </wp:positionH>
            <wp:positionV relativeFrom="paragraph">
              <wp:posOffset>464185</wp:posOffset>
            </wp:positionV>
            <wp:extent cx="5701030" cy="1625600"/>
            <wp:effectExtent l="0" t="0" r="0" b="0"/>
            <wp:wrapTopAndBottom/>
            <wp:docPr id="1258983734" name="Chart 1">
              <a:extLst xmlns:a="http://schemas.openxmlformats.org/drawingml/2006/main">
                <a:ext uri="{FF2B5EF4-FFF2-40B4-BE49-F238E27FC236}">
                  <a16:creationId xmlns:a16="http://schemas.microsoft.com/office/drawing/2014/main" id="{4D9D60CE-DE49-B834-B7F3-6878DE5558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r w:rsidR="00B0754D" w:rsidRPr="005F1BD2">
        <w:rPr>
          <w:noProof/>
        </w:rPr>
        <w:t xml:space="preserve">Figure </w:t>
      </w:r>
      <w:r w:rsidR="00B0754D" w:rsidRPr="005F1BD2">
        <w:rPr>
          <w:noProof/>
        </w:rPr>
        <w:fldChar w:fldCharType="begin"/>
      </w:r>
      <w:r w:rsidR="00B0754D" w:rsidRPr="005F1BD2">
        <w:rPr>
          <w:noProof/>
        </w:rPr>
        <w:instrText xml:space="preserve"> SEQ Figure \* ARABIC </w:instrText>
      </w:r>
      <w:r w:rsidR="00B0754D" w:rsidRPr="005F1BD2">
        <w:rPr>
          <w:noProof/>
        </w:rPr>
        <w:fldChar w:fldCharType="separate"/>
      </w:r>
      <w:r w:rsidR="00227418">
        <w:rPr>
          <w:noProof/>
        </w:rPr>
        <w:t>9</w:t>
      </w:r>
      <w:r w:rsidR="00B0754D" w:rsidRPr="005F1BD2">
        <w:rPr>
          <w:noProof/>
        </w:rPr>
        <w:fldChar w:fldCharType="end"/>
      </w:r>
      <w:r w:rsidR="00B0754D" w:rsidRPr="0048120A">
        <w:rPr>
          <w:noProof/>
        </w:rPr>
        <w:t>:</w:t>
      </w:r>
      <w:r w:rsidR="00B0754D">
        <w:rPr>
          <w:noProof/>
        </w:rPr>
        <w:t xml:space="preserve"> Total number of notified procedures per Member State (Oct</w:t>
      </w:r>
      <w:r>
        <w:rPr>
          <w:noProof/>
        </w:rPr>
        <w:t>ober</w:t>
      </w:r>
      <w:r w:rsidR="00B0754D">
        <w:rPr>
          <w:noProof/>
        </w:rPr>
        <w:t xml:space="preserve"> 2023 – Jan</w:t>
      </w:r>
      <w:r>
        <w:rPr>
          <w:noProof/>
        </w:rPr>
        <w:t>uary</w:t>
      </w:r>
      <w:r w:rsidR="00B0754D">
        <w:rPr>
          <w:noProof/>
        </w:rPr>
        <w:t xml:space="preserve"> 2026)</w:t>
      </w:r>
    </w:p>
    <w:p w14:paraId="70CE2073" w14:textId="1F282CC2" w:rsidR="00EB2F38" w:rsidRPr="00F85216" w:rsidRDefault="00F70F9E" w:rsidP="00FF6589">
      <w:pPr>
        <w:pStyle w:val="Source"/>
        <w:rPr>
          <w:rFonts w:eastAsia="Yu Gothic"/>
          <w:noProof/>
          <w:lang w:eastAsia="en-IE"/>
        </w:rPr>
      </w:pPr>
      <w:r w:rsidRPr="00F85216">
        <w:rPr>
          <w:rFonts w:eastAsia="Aptos"/>
          <w:noProof/>
          <w:lang w:val="en-US" w:eastAsia="en-US"/>
        </w:rPr>
        <w:t>Source: Commission</w:t>
      </w:r>
      <w:r w:rsidR="0057334A">
        <w:rPr>
          <w:rFonts w:eastAsia="Aptos"/>
          <w:noProof/>
          <w:lang w:val="en-US" w:eastAsia="en-US"/>
        </w:rPr>
        <w:t xml:space="preserve"> services</w:t>
      </w:r>
      <w:r w:rsidR="00E77877">
        <w:rPr>
          <w:rFonts w:eastAsia="Aptos"/>
          <w:noProof/>
          <w:lang w:val="en-US" w:eastAsia="en-US"/>
        </w:rPr>
        <w:t>.</w:t>
      </w:r>
    </w:p>
    <w:p w14:paraId="08E747BE" w14:textId="0BD99D1B" w:rsidR="00C31F8E" w:rsidRDefault="00C31F8E" w:rsidP="00C31F8E">
      <w:pPr>
        <w:pStyle w:val="Text2"/>
        <w:ind w:left="0"/>
        <w:rPr>
          <w:noProof/>
          <w:color w:val="000000" w:themeColor="text1"/>
        </w:rPr>
      </w:pPr>
      <w:r>
        <w:rPr>
          <w:noProof/>
          <w:color w:val="000000" w:themeColor="text1"/>
        </w:rPr>
        <w:t xml:space="preserve">Second, according to the analysis of internal data, </w:t>
      </w:r>
      <w:bookmarkStart w:id="115" w:name="_Hlk228809193"/>
      <w:r>
        <w:rPr>
          <w:noProof/>
          <w:color w:val="000000" w:themeColor="text1"/>
        </w:rPr>
        <w:t>c</w:t>
      </w:r>
      <w:r w:rsidRPr="00901023">
        <w:rPr>
          <w:noProof/>
          <w:color w:val="000000" w:themeColor="text1"/>
        </w:rPr>
        <w:t xml:space="preserve">ontracting authorities </w:t>
      </w:r>
      <w:r w:rsidRPr="00A21D05">
        <w:rPr>
          <w:noProof/>
          <w:color w:val="000000" w:themeColor="text1"/>
        </w:rPr>
        <w:t>from Germany, France and Italy transferred the highest number of submissions to the Commission. At the same time, several Member States have not forwarded any submission in a public procurement procedure that would fall under</w:t>
      </w:r>
      <w:r w:rsidR="000D1271">
        <w:rPr>
          <w:noProof/>
          <w:color w:val="000000" w:themeColor="text1"/>
        </w:rPr>
        <w:t xml:space="preserve"> the</w:t>
      </w:r>
      <w:r w:rsidRPr="00A21D05">
        <w:rPr>
          <w:noProof/>
          <w:color w:val="000000" w:themeColor="text1"/>
        </w:rPr>
        <w:t xml:space="preserve"> FSR</w:t>
      </w:r>
      <w:bookmarkEnd w:id="115"/>
      <w:r>
        <w:rPr>
          <w:noProof/>
          <w:color w:val="000000" w:themeColor="text1"/>
        </w:rPr>
        <w:t xml:space="preserve"> – </w:t>
      </w:r>
      <w:bookmarkStart w:id="116" w:name="_Hlk228809203"/>
      <w:r>
        <w:rPr>
          <w:noProof/>
          <w:color w:val="000000" w:themeColor="text1"/>
        </w:rPr>
        <w:t>similarly to the above, in some cases, this may be justified by the lack of public procurement procedures reaching the FSR jurisdictional threshold</w:t>
      </w:r>
      <w:r w:rsidRPr="00A21D05">
        <w:rPr>
          <w:noProof/>
          <w:color w:val="000000" w:themeColor="text1"/>
        </w:rPr>
        <w:t>.</w:t>
      </w:r>
      <w:r>
        <w:rPr>
          <w:noProof/>
          <w:color w:val="000000" w:themeColor="text1"/>
        </w:rPr>
        <w:t xml:space="preserve"> </w:t>
      </w:r>
      <w:bookmarkEnd w:id="116"/>
      <w:r>
        <w:rPr>
          <w:noProof/>
          <w:color w:val="000000" w:themeColor="text1"/>
        </w:rPr>
        <w:t xml:space="preserve">The number of submissions indicates the number of economic operators in a public procurement procedure. Based on Commission </w:t>
      </w:r>
      <w:r w:rsidRPr="5FE79800">
        <w:rPr>
          <w:noProof/>
          <w:color w:val="000000" w:themeColor="text1"/>
        </w:rPr>
        <w:t>data</w:t>
      </w:r>
      <w:r>
        <w:rPr>
          <w:noProof/>
          <w:color w:val="000000" w:themeColor="text1"/>
        </w:rPr>
        <w:t xml:space="preserve">, </w:t>
      </w:r>
      <w:bookmarkStart w:id="117" w:name="_Hlk228809231"/>
      <w:r>
        <w:rPr>
          <w:noProof/>
          <w:color w:val="000000" w:themeColor="text1"/>
        </w:rPr>
        <w:t>the number of economic operators exceeds by more than five times the number of public procurement procedures in which the Commission received submissions, indicating on average five economic operators per procedure</w:t>
      </w:r>
      <w:bookmarkEnd w:id="117"/>
      <w:r>
        <w:rPr>
          <w:noProof/>
          <w:color w:val="000000" w:themeColor="text1"/>
        </w:rPr>
        <w:t xml:space="preserve">. </w:t>
      </w:r>
      <w:r w:rsidR="000D1271">
        <w:rPr>
          <w:noProof/>
          <w:color w:val="000000" w:themeColor="text1"/>
        </w:rPr>
        <w:t>T</w:t>
      </w:r>
      <w:r>
        <w:rPr>
          <w:noProof/>
          <w:color w:val="000000" w:themeColor="text1"/>
        </w:rPr>
        <w:t>he number of economic operators per procedure varies significantly – with procedures reaching up to 20-50 or at times over 100 submissions in one single procedure. The variation between the number of submissions may depend on the tender, the level of competition in a Member State, the type of procedure or other factors.</w:t>
      </w:r>
    </w:p>
    <w:p w14:paraId="1C2D6209" w14:textId="7767166E" w:rsidR="00B0754D" w:rsidRPr="00355E68" w:rsidRDefault="00B0754D" w:rsidP="000E15D4">
      <w:pPr>
        <w:pStyle w:val="Caption"/>
        <w:rPr>
          <w:rFonts w:eastAsiaTheme="minorHAnsi"/>
          <w:noProof/>
          <w:color w:val="000000" w:themeColor="text1"/>
        </w:rPr>
      </w:pPr>
      <w:r w:rsidRPr="005F1BD2">
        <w:rPr>
          <w:noProof/>
        </w:rPr>
        <w:t xml:space="preserve">Figure </w:t>
      </w:r>
      <w:r w:rsidRPr="005F1BD2">
        <w:rPr>
          <w:noProof/>
        </w:rPr>
        <w:fldChar w:fldCharType="begin"/>
      </w:r>
      <w:r w:rsidRPr="005F1BD2">
        <w:rPr>
          <w:noProof/>
        </w:rPr>
        <w:instrText xml:space="preserve"> SEQ Figure \* ARABIC </w:instrText>
      </w:r>
      <w:r w:rsidRPr="005F1BD2">
        <w:rPr>
          <w:noProof/>
        </w:rPr>
        <w:fldChar w:fldCharType="separate"/>
      </w:r>
      <w:r w:rsidR="00227418">
        <w:rPr>
          <w:noProof/>
        </w:rPr>
        <w:t>10</w:t>
      </w:r>
      <w:r w:rsidRPr="005F1BD2">
        <w:rPr>
          <w:noProof/>
        </w:rPr>
        <w:fldChar w:fldCharType="end"/>
      </w:r>
      <w:r w:rsidRPr="0048120A">
        <w:rPr>
          <w:rFonts w:eastAsia="Aptos"/>
          <w:noProof/>
          <w:lang w:val="en-US" w:eastAsia="en-US"/>
        </w:rPr>
        <w:t>:</w:t>
      </w:r>
      <w:r w:rsidRPr="00B071E2">
        <w:rPr>
          <w:rFonts w:eastAsia="Aptos"/>
          <w:noProof/>
          <w:lang w:val="en-US" w:eastAsia="en-US"/>
        </w:rPr>
        <w:t xml:space="preserve"> </w:t>
      </w:r>
      <w:r>
        <w:rPr>
          <w:rFonts w:eastAsia="Aptos"/>
          <w:noProof/>
          <w:lang w:val="en-US" w:eastAsia="en-US"/>
        </w:rPr>
        <w:t>Total</w:t>
      </w:r>
      <w:r w:rsidRPr="00B071E2">
        <w:rPr>
          <w:rFonts w:eastAsia="Aptos"/>
          <w:noProof/>
          <w:lang w:val="en-US" w:eastAsia="en-US"/>
        </w:rPr>
        <w:t xml:space="preserve"> number of </w:t>
      </w:r>
      <w:r>
        <w:rPr>
          <w:rFonts w:eastAsia="Aptos"/>
          <w:noProof/>
          <w:lang w:val="en-US" w:eastAsia="en-US"/>
        </w:rPr>
        <w:t xml:space="preserve">submissions in </w:t>
      </w:r>
      <w:r w:rsidRPr="00B071E2">
        <w:rPr>
          <w:rFonts w:eastAsia="Aptos"/>
          <w:noProof/>
          <w:lang w:val="en-US" w:eastAsia="en-US"/>
        </w:rPr>
        <w:t xml:space="preserve">notified procedures per </w:t>
      </w:r>
      <w:r>
        <w:rPr>
          <w:rFonts w:eastAsia="Aptos"/>
          <w:noProof/>
          <w:lang w:val="en-US" w:eastAsia="en-US"/>
        </w:rPr>
        <w:t>Member State</w:t>
      </w:r>
      <w:r w:rsidRPr="00B071E2">
        <w:rPr>
          <w:rFonts w:eastAsia="Aptos"/>
          <w:noProof/>
          <w:lang w:val="en-US" w:eastAsia="en-US"/>
        </w:rPr>
        <w:t xml:space="preserve"> (Oct</w:t>
      </w:r>
      <w:r w:rsidR="00B52E30">
        <w:rPr>
          <w:rFonts w:eastAsia="Aptos"/>
          <w:noProof/>
          <w:lang w:val="en-US" w:eastAsia="en-US"/>
        </w:rPr>
        <w:t>ober</w:t>
      </w:r>
      <w:r w:rsidRPr="00B071E2">
        <w:rPr>
          <w:rFonts w:eastAsia="Aptos"/>
          <w:noProof/>
          <w:lang w:val="en-US" w:eastAsia="en-US"/>
        </w:rPr>
        <w:t xml:space="preserve"> 2023-Jan</w:t>
      </w:r>
      <w:r w:rsidR="00B52E30">
        <w:rPr>
          <w:rFonts w:eastAsia="Aptos"/>
          <w:noProof/>
          <w:lang w:val="en-US" w:eastAsia="en-US"/>
        </w:rPr>
        <w:t>uary</w:t>
      </w:r>
      <w:r>
        <w:rPr>
          <w:rFonts w:eastAsia="Aptos"/>
          <w:noProof/>
          <w:lang w:val="en-US" w:eastAsia="en-US"/>
        </w:rPr>
        <w:t xml:space="preserve"> </w:t>
      </w:r>
      <w:r w:rsidRPr="00B071E2">
        <w:rPr>
          <w:rFonts w:eastAsia="Aptos"/>
          <w:noProof/>
          <w:lang w:val="en-US" w:eastAsia="en-US"/>
        </w:rPr>
        <w:t>2026)</w:t>
      </w:r>
    </w:p>
    <w:p w14:paraId="452AC5A3" w14:textId="3A57E0CA" w:rsidR="00C31F8E" w:rsidRDefault="00C31F8E" w:rsidP="00FF6589">
      <w:pPr>
        <w:pStyle w:val="Figure"/>
        <w:rPr>
          <w:rFonts w:eastAsia="Yu Gothic"/>
          <w:noProof/>
          <w:szCs w:val="24"/>
          <w:lang w:eastAsia="en-IE"/>
        </w:rPr>
      </w:pPr>
      <w:r>
        <w:rPr>
          <w:noProof/>
          <w:lang w:eastAsia="en-GB"/>
        </w:rPr>
        <w:drawing>
          <wp:inline distT="0" distB="0" distL="0" distR="0" wp14:anchorId="1D2291A7" wp14:editId="2BBF52B5">
            <wp:extent cx="5472430" cy="1713058"/>
            <wp:effectExtent l="0" t="0" r="0" b="1905"/>
            <wp:docPr id="2043992617" name="Chart 1">
              <a:extLst xmlns:a="http://schemas.openxmlformats.org/drawingml/2006/main">
                <a:ext uri="{FF2B5EF4-FFF2-40B4-BE49-F238E27FC236}">
                  <a16:creationId xmlns:a16="http://schemas.microsoft.com/office/drawing/2014/main" id="{C47683FD-3759-46B0-BBFE-527B1C4C2B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4ECCC38" w14:textId="233D35CD" w:rsidR="00C31F8E" w:rsidRPr="00F85216" w:rsidRDefault="00C31F8E" w:rsidP="00FF6589">
      <w:pPr>
        <w:pStyle w:val="Source"/>
        <w:rPr>
          <w:rFonts w:eastAsia="Yu Gothic"/>
          <w:noProof/>
          <w:lang w:eastAsia="en-IE"/>
        </w:rPr>
      </w:pPr>
      <w:r w:rsidRPr="00F85216">
        <w:rPr>
          <w:rFonts w:eastAsia="Aptos"/>
          <w:noProof/>
          <w:lang w:val="en-US" w:eastAsia="en-US"/>
        </w:rPr>
        <w:t>Source: Commission</w:t>
      </w:r>
      <w:r w:rsidR="0057334A">
        <w:rPr>
          <w:rFonts w:eastAsia="Aptos"/>
          <w:noProof/>
          <w:lang w:val="en-US" w:eastAsia="en-US"/>
        </w:rPr>
        <w:t xml:space="preserve"> services</w:t>
      </w:r>
      <w:r w:rsidR="00E77877">
        <w:rPr>
          <w:rFonts w:eastAsia="Aptos"/>
          <w:noProof/>
          <w:lang w:val="en-US" w:eastAsia="en-US"/>
        </w:rPr>
        <w:t>.</w:t>
      </w:r>
    </w:p>
    <w:p w14:paraId="5B633731" w14:textId="77777777" w:rsidR="00C31F8E" w:rsidRPr="000B35A8" w:rsidRDefault="00C31F8E" w:rsidP="006041B3">
      <w:pPr>
        <w:pStyle w:val="ListParagraph"/>
        <w:keepNext/>
        <w:numPr>
          <w:ilvl w:val="0"/>
          <w:numId w:val="217"/>
        </w:numPr>
        <w:ind w:left="714" w:hanging="357"/>
        <w:rPr>
          <w:noProof/>
          <w:lang w:eastAsia="en-IE"/>
        </w:rPr>
      </w:pPr>
      <w:bookmarkStart w:id="118" w:name="_Toc228286495"/>
      <w:r w:rsidRPr="00836900">
        <w:rPr>
          <w:i/>
          <w:noProof/>
          <w:lang w:eastAsia="en-IE"/>
        </w:rPr>
        <w:t>Comparison of published public procurement procedures with and without FSR submission</w:t>
      </w:r>
      <w:bookmarkEnd w:id="118"/>
    </w:p>
    <w:p w14:paraId="08492B25" w14:textId="79B85D17" w:rsidR="00C31F8E" w:rsidRDefault="00C31F8E" w:rsidP="00C31F8E">
      <w:pPr>
        <w:rPr>
          <w:noProof/>
          <w:szCs w:val="24"/>
        </w:rPr>
      </w:pPr>
      <w:r>
        <w:rPr>
          <w:noProof/>
          <w:szCs w:val="24"/>
        </w:rPr>
        <w:t xml:space="preserve">To approximate the level of compliance with </w:t>
      </w:r>
      <w:r w:rsidR="00F178D9">
        <w:rPr>
          <w:noProof/>
          <w:szCs w:val="24"/>
        </w:rPr>
        <w:t xml:space="preserve">the </w:t>
      </w:r>
      <w:r>
        <w:rPr>
          <w:noProof/>
          <w:szCs w:val="24"/>
        </w:rPr>
        <w:t xml:space="preserve">FSR the Commission </w:t>
      </w:r>
      <w:r w:rsidR="001E3537">
        <w:rPr>
          <w:noProof/>
          <w:szCs w:val="24"/>
        </w:rPr>
        <w:t>services</w:t>
      </w:r>
      <w:r>
        <w:rPr>
          <w:noProof/>
          <w:szCs w:val="24"/>
        </w:rPr>
        <w:t xml:space="preserve"> may (i</w:t>
      </w:r>
      <w:r w:rsidR="007763DB">
        <w:rPr>
          <w:noProof/>
          <w:szCs w:val="24"/>
        </w:rPr>
        <w:t>) </w:t>
      </w:r>
      <w:r>
        <w:rPr>
          <w:noProof/>
          <w:szCs w:val="24"/>
        </w:rPr>
        <w:t xml:space="preserve">compare the number of public procurement procedures in which it received at least one submission with the number of contract notices published in </w:t>
      </w:r>
      <w:r w:rsidRPr="00C72DEB">
        <w:rPr>
          <w:noProof/>
          <w:szCs w:val="24"/>
        </w:rPr>
        <w:t xml:space="preserve">TED database with a value of at least </w:t>
      </w:r>
      <w:r w:rsidR="007763DB" w:rsidRPr="00C72DEB">
        <w:rPr>
          <w:noProof/>
          <w:szCs w:val="24"/>
        </w:rPr>
        <w:t>EUR</w:t>
      </w:r>
      <w:r w:rsidR="007763DB">
        <w:rPr>
          <w:noProof/>
          <w:szCs w:val="24"/>
        </w:rPr>
        <w:t> </w:t>
      </w:r>
      <w:r w:rsidRPr="00C72DEB">
        <w:rPr>
          <w:noProof/>
          <w:szCs w:val="24"/>
        </w:rPr>
        <w:t>250 million</w:t>
      </w:r>
      <w:r>
        <w:rPr>
          <w:noProof/>
          <w:szCs w:val="24"/>
        </w:rPr>
        <w:t xml:space="preserve"> net of VAT</w:t>
      </w:r>
      <w:r w:rsidR="00454446">
        <w:rPr>
          <w:noProof/>
          <w:szCs w:val="24"/>
        </w:rPr>
        <w:t>;</w:t>
      </w:r>
      <w:r>
        <w:rPr>
          <w:noProof/>
          <w:szCs w:val="24"/>
        </w:rPr>
        <w:t xml:space="preserve"> and (ii</w:t>
      </w:r>
      <w:r w:rsidR="007763DB">
        <w:rPr>
          <w:noProof/>
          <w:szCs w:val="24"/>
        </w:rPr>
        <w:t>) </w:t>
      </w:r>
      <w:r>
        <w:rPr>
          <w:noProof/>
          <w:szCs w:val="24"/>
        </w:rPr>
        <w:t>compare the number of submissions received per public procurement procedure with the actual number of tenders submitted to the contracting authority in a given procedure.</w:t>
      </w:r>
    </w:p>
    <w:p w14:paraId="7A08E3D5" w14:textId="736BC384" w:rsidR="00C31F8E" w:rsidRDefault="00C31F8E" w:rsidP="00C31F8E">
      <w:pPr>
        <w:rPr>
          <w:noProof/>
          <w:szCs w:val="24"/>
        </w:rPr>
      </w:pPr>
      <w:r>
        <w:rPr>
          <w:noProof/>
          <w:szCs w:val="24"/>
        </w:rPr>
        <w:t xml:space="preserve">For the purposes of </w:t>
      </w:r>
      <w:r w:rsidR="007D3298" w:rsidRPr="00C65255">
        <w:rPr>
          <w:noProof/>
          <w:szCs w:val="24"/>
        </w:rPr>
        <w:t xml:space="preserve">the </w:t>
      </w:r>
      <w:r w:rsidR="00D75254" w:rsidRPr="0021088F">
        <w:rPr>
          <w:noProof/>
          <w:szCs w:val="24"/>
        </w:rPr>
        <w:t>Report</w:t>
      </w:r>
      <w:r>
        <w:rPr>
          <w:noProof/>
          <w:szCs w:val="24"/>
        </w:rPr>
        <w:t xml:space="preserve">, the Commission </w:t>
      </w:r>
      <w:r w:rsidR="007763DB">
        <w:rPr>
          <w:noProof/>
          <w:szCs w:val="24"/>
        </w:rPr>
        <w:t>services</w:t>
      </w:r>
      <w:r>
        <w:rPr>
          <w:noProof/>
          <w:szCs w:val="24"/>
        </w:rPr>
        <w:t xml:space="preserve"> conducted a comparison of the list of public procurement procedures that met the jurisdictional threshold for application of the FSR published in TED, with the list of procedures in which at least one FSR submission was submitted</w:t>
      </w:r>
      <w:r w:rsidR="00230AD6" w:rsidRPr="00230AD6">
        <w:rPr>
          <w:noProof/>
          <w:szCs w:val="24"/>
        </w:rPr>
        <w:t> (</w:t>
      </w:r>
      <w:r>
        <w:rPr>
          <w:rStyle w:val="FootnoteReference"/>
          <w:noProof/>
          <w:szCs w:val="24"/>
        </w:rPr>
        <w:footnoteReference w:id="75"/>
      </w:r>
      <w:r w:rsidR="00230AD6">
        <w:rPr>
          <w:noProof/>
          <w:szCs w:val="24"/>
        </w:rPr>
        <w:t>)</w:t>
      </w:r>
      <w:r>
        <w:rPr>
          <w:noProof/>
          <w:szCs w:val="24"/>
        </w:rPr>
        <w:t xml:space="preserve">. At the same time, the Commission </w:t>
      </w:r>
      <w:r w:rsidR="007763DB">
        <w:rPr>
          <w:noProof/>
          <w:szCs w:val="24"/>
        </w:rPr>
        <w:t>services</w:t>
      </w:r>
      <w:r>
        <w:rPr>
          <w:noProof/>
          <w:szCs w:val="24"/>
        </w:rPr>
        <w:t xml:space="preserve"> decided not to cross-check the number of submissions transferred to it against the number of tenders submitted to the contracting authority, in order to minimise the administrative burden on the contracting authority.</w:t>
      </w:r>
    </w:p>
    <w:p w14:paraId="421967D4" w14:textId="7F4732F6" w:rsidR="00C31F8E" w:rsidRPr="00E86740" w:rsidRDefault="00C31F8E" w:rsidP="00C31F8E">
      <w:pPr>
        <w:pStyle w:val="Text2"/>
        <w:ind w:left="0"/>
        <w:rPr>
          <w:noProof/>
        </w:rPr>
      </w:pPr>
      <w:r w:rsidRPr="00184ACB">
        <w:rPr>
          <w:noProof/>
        </w:rPr>
        <w:t xml:space="preserve">As a result of the data analysed, </w:t>
      </w:r>
      <w:bookmarkStart w:id="119" w:name="_Hlk228809282"/>
      <w:r w:rsidRPr="00184ACB">
        <w:rPr>
          <w:noProof/>
        </w:rPr>
        <w:t xml:space="preserve">during the first year of application of the FSR – between </w:t>
      </w:r>
      <w:r>
        <w:rPr>
          <w:noProof/>
        </w:rPr>
        <w:t xml:space="preserve">1 </w:t>
      </w:r>
      <w:r w:rsidRPr="00184ACB">
        <w:rPr>
          <w:noProof/>
        </w:rPr>
        <w:t xml:space="preserve">October 2023 and </w:t>
      </w:r>
      <w:r>
        <w:rPr>
          <w:noProof/>
        </w:rPr>
        <w:t>30 September</w:t>
      </w:r>
      <w:r w:rsidRPr="00184ACB">
        <w:rPr>
          <w:noProof/>
        </w:rPr>
        <w:t xml:space="preserve"> 2024 – in 40 % of all published public procurement procedures of at least </w:t>
      </w:r>
      <w:r w:rsidR="007763DB" w:rsidRPr="00184ACB">
        <w:rPr>
          <w:noProof/>
        </w:rPr>
        <w:t>EUR</w:t>
      </w:r>
      <w:r w:rsidR="007763DB">
        <w:rPr>
          <w:noProof/>
        </w:rPr>
        <w:t> </w:t>
      </w:r>
      <w:r w:rsidRPr="00184ACB">
        <w:rPr>
          <w:noProof/>
        </w:rPr>
        <w:t>250 million</w:t>
      </w:r>
      <w:r w:rsidR="00454446">
        <w:rPr>
          <w:noProof/>
        </w:rPr>
        <w:t>,</w:t>
      </w:r>
      <w:r w:rsidRPr="00184ACB">
        <w:rPr>
          <w:noProof/>
        </w:rPr>
        <w:t xml:space="preserve"> the Commission received at least one submission. During the second year between October 2024 to </w:t>
      </w:r>
      <w:r>
        <w:rPr>
          <w:noProof/>
        </w:rPr>
        <w:t>September</w:t>
      </w:r>
      <w:r w:rsidRPr="00184ACB">
        <w:rPr>
          <w:noProof/>
        </w:rPr>
        <w:t xml:space="preserve"> 2025</w:t>
      </w:r>
      <w:r w:rsidR="00454446">
        <w:rPr>
          <w:noProof/>
        </w:rPr>
        <w:t>,</w:t>
      </w:r>
      <w:r w:rsidRPr="00184ACB">
        <w:rPr>
          <w:noProof/>
        </w:rPr>
        <w:t xml:space="preserve"> this figure rose to 70 %, however the rate has dropped significantly to 45% between October 2025 and January 2026</w:t>
      </w:r>
      <w:r>
        <w:rPr>
          <w:noProof/>
        </w:rPr>
        <w:t>.</w:t>
      </w:r>
      <w:r w:rsidRPr="00F20EBC">
        <w:rPr>
          <w:noProof/>
        </w:rPr>
        <w:t xml:space="preserve"> </w:t>
      </w:r>
      <w:r>
        <w:rPr>
          <w:noProof/>
        </w:rPr>
        <w:t>While this data does not provide conclusive evidence on the level of compliance of economic operators with their FSR obligation, it suggests a decreasing trend in compliance rate</w:t>
      </w:r>
      <w:bookmarkEnd w:id="119"/>
      <w:r>
        <w:rPr>
          <w:noProof/>
        </w:rPr>
        <w:t>.</w:t>
      </w:r>
    </w:p>
    <w:p w14:paraId="63B0F6D2" w14:textId="21081964" w:rsidR="00C31F8E" w:rsidRPr="00B071E2" w:rsidRDefault="00C31F8E" w:rsidP="00FF6589">
      <w:pPr>
        <w:pStyle w:val="Caption"/>
        <w:rPr>
          <w:rFonts w:eastAsia="Aptos"/>
          <w:noProof/>
          <w:lang w:val="en-US" w:eastAsia="en-US"/>
        </w:rPr>
      </w:pPr>
      <w:r w:rsidRPr="005F1BD2">
        <w:rPr>
          <w:rFonts w:eastAsia="Aptos"/>
          <w:noProof/>
          <w:lang w:val="en-US" w:eastAsia="en-US"/>
        </w:rPr>
        <w:t xml:space="preserve">Figure </w:t>
      </w:r>
      <w:r w:rsidRPr="005F1BD2">
        <w:rPr>
          <w:rFonts w:eastAsia="Aptos"/>
          <w:noProof/>
          <w:lang w:val="en-US" w:eastAsia="en-US"/>
        </w:rPr>
        <w:fldChar w:fldCharType="begin"/>
      </w:r>
      <w:r w:rsidRPr="005F1BD2">
        <w:rPr>
          <w:rFonts w:eastAsia="Aptos"/>
          <w:noProof/>
          <w:lang w:val="en-US" w:eastAsia="en-US"/>
        </w:rPr>
        <w:instrText xml:space="preserve"> SEQ Figure \* ARABIC </w:instrText>
      </w:r>
      <w:r w:rsidRPr="005F1BD2">
        <w:rPr>
          <w:rFonts w:eastAsia="Aptos"/>
          <w:noProof/>
          <w:lang w:val="en-US" w:eastAsia="en-US"/>
        </w:rPr>
        <w:fldChar w:fldCharType="separate"/>
      </w:r>
      <w:r w:rsidR="00227418">
        <w:rPr>
          <w:rFonts w:eastAsia="Aptos"/>
          <w:noProof/>
          <w:lang w:val="en-US" w:eastAsia="en-US"/>
        </w:rPr>
        <w:t>11</w:t>
      </w:r>
      <w:r w:rsidRPr="005F1BD2">
        <w:rPr>
          <w:rFonts w:eastAsia="Aptos"/>
          <w:noProof/>
          <w:lang w:val="en-US" w:eastAsia="en-US"/>
        </w:rPr>
        <w:fldChar w:fldCharType="end"/>
      </w:r>
      <w:r w:rsidRPr="0048120A">
        <w:rPr>
          <w:rFonts w:eastAsia="Aptos"/>
          <w:noProof/>
          <w:lang w:val="en-US" w:eastAsia="en-US"/>
        </w:rPr>
        <w:t>:</w:t>
      </w:r>
      <w:r w:rsidRPr="00B071E2">
        <w:rPr>
          <w:rFonts w:eastAsia="Aptos"/>
          <w:noProof/>
          <w:lang w:val="en-US" w:eastAsia="en-US"/>
        </w:rPr>
        <w:t xml:space="preserve"> Compliance rate with FSR reporting obligations (number of procedures). </w:t>
      </w:r>
    </w:p>
    <w:p w14:paraId="16F9C915" w14:textId="2D9C17B2" w:rsidR="00C31F8E" w:rsidRDefault="00C31F8E" w:rsidP="00FF6589">
      <w:pPr>
        <w:pStyle w:val="Figure"/>
        <w:rPr>
          <w:rFonts w:eastAsia="Yu Gothic"/>
          <w:noProof/>
          <w:szCs w:val="24"/>
          <w:lang w:eastAsia="en-IE"/>
        </w:rPr>
      </w:pPr>
      <w:r w:rsidRPr="0035722C">
        <w:rPr>
          <w:noProof/>
          <w:lang w:eastAsia="en-GB"/>
        </w:rPr>
        <w:drawing>
          <wp:inline distT="0" distB="0" distL="0" distR="0" wp14:anchorId="28232AA1" wp14:editId="6F13AA80">
            <wp:extent cx="5472430" cy="3192251"/>
            <wp:effectExtent l="0" t="0" r="0" b="8255"/>
            <wp:docPr id="162614164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7A3E899" w14:textId="32FF2EDF" w:rsidR="00C31F8E" w:rsidRPr="00F85216" w:rsidRDefault="00C31F8E" w:rsidP="00FF6589">
      <w:pPr>
        <w:pStyle w:val="Source"/>
        <w:rPr>
          <w:rFonts w:eastAsia="Yu Gothic"/>
          <w:noProof/>
          <w:lang w:eastAsia="en-IE"/>
        </w:rPr>
      </w:pPr>
      <w:r w:rsidRPr="00F85216">
        <w:rPr>
          <w:rFonts w:eastAsia="Aptos"/>
          <w:noProof/>
          <w:lang w:val="en-US" w:eastAsia="en-US"/>
        </w:rPr>
        <w:t>Source: Commission</w:t>
      </w:r>
      <w:r w:rsidR="0057334A">
        <w:rPr>
          <w:rFonts w:eastAsia="Aptos"/>
          <w:noProof/>
          <w:lang w:val="en-US" w:eastAsia="en-US"/>
        </w:rPr>
        <w:t xml:space="preserve"> </w:t>
      </w:r>
      <w:r w:rsidR="006674A2">
        <w:rPr>
          <w:rFonts w:eastAsia="Aptos"/>
          <w:noProof/>
          <w:lang w:val="en-US" w:eastAsia="en-US"/>
        </w:rPr>
        <w:t>s</w:t>
      </w:r>
      <w:r w:rsidR="0057334A">
        <w:rPr>
          <w:rFonts w:eastAsia="Aptos"/>
          <w:noProof/>
          <w:lang w:val="en-US" w:eastAsia="en-US"/>
        </w:rPr>
        <w:t>ervices</w:t>
      </w:r>
      <w:r w:rsidRPr="00F85216">
        <w:rPr>
          <w:rFonts w:eastAsia="Aptos"/>
          <w:noProof/>
          <w:lang w:val="en-US" w:eastAsia="en-US"/>
        </w:rPr>
        <w:t>, TED</w:t>
      </w:r>
      <w:r w:rsidR="007763DB">
        <w:rPr>
          <w:rFonts w:eastAsia="Aptos"/>
          <w:noProof/>
          <w:lang w:val="en-US" w:eastAsia="en-US"/>
        </w:rPr>
        <w:t>.</w:t>
      </w:r>
    </w:p>
    <w:p w14:paraId="361EF160" w14:textId="5BE81EAA" w:rsidR="00C31F8E" w:rsidRDefault="00C31F8E" w:rsidP="00C31F8E">
      <w:pPr>
        <w:spacing w:after="240"/>
        <w:rPr>
          <w:noProof/>
          <w:szCs w:val="24"/>
        </w:rPr>
      </w:pPr>
      <w:r>
        <w:rPr>
          <w:noProof/>
          <w:szCs w:val="24"/>
        </w:rPr>
        <w:t>Furthermore, l</w:t>
      </w:r>
      <w:r w:rsidRPr="53B6F751">
        <w:rPr>
          <w:noProof/>
          <w:szCs w:val="24"/>
        </w:rPr>
        <w:t xml:space="preserve">imited awareness </w:t>
      </w:r>
      <w:r>
        <w:rPr>
          <w:noProof/>
          <w:szCs w:val="24"/>
        </w:rPr>
        <w:t xml:space="preserve">among contracting authorities, combined with </w:t>
      </w:r>
      <w:r w:rsidRPr="53B6F751">
        <w:rPr>
          <w:noProof/>
          <w:szCs w:val="24"/>
        </w:rPr>
        <w:t xml:space="preserve">inconsistent </w:t>
      </w:r>
      <w:r w:rsidR="007F5900">
        <w:rPr>
          <w:noProof/>
          <w:szCs w:val="24"/>
        </w:rPr>
        <w:t xml:space="preserve">application </w:t>
      </w:r>
      <w:r>
        <w:rPr>
          <w:noProof/>
          <w:szCs w:val="24"/>
        </w:rPr>
        <w:t xml:space="preserve">of </w:t>
      </w:r>
      <w:r w:rsidR="00F178D9">
        <w:rPr>
          <w:noProof/>
          <w:szCs w:val="24"/>
        </w:rPr>
        <w:t xml:space="preserve">the </w:t>
      </w:r>
      <w:r>
        <w:rPr>
          <w:noProof/>
          <w:szCs w:val="24"/>
        </w:rPr>
        <w:t xml:space="preserve">FSR, may </w:t>
      </w:r>
      <w:r w:rsidRPr="53B6F751">
        <w:rPr>
          <w:noProof/>
          <w:szCs w:val="24"/>
        </w:rPr>
        <w:t xml:space="preserve">reduce predictability for stakeholders and may </w:t>
      </w:r>
      <w:r>
        <w:rPr>
          <w:noProof/>
          <w:szCs w:val="24"/>
        </w:rPr>
        <w:t>undermine</w:t>
      </w:r>
      <w:r w:rsidRPr="53B6F751">
        <w:rPr>
          <w:noProof/>
          <w:szCs w:val="24"/>
        </w:rPr>
        <w:t xml:space="preserve"> the </w:t>
      </w:r>
      <w:r>
        <w:rPr>
          <w:noProof/>
          <w:szCs w:val="24"/>
        </w:rPr>
        <w:t>FSR objectives</w:t>
      </w:r>
      <w:r w:rsidRPr="53B6F751">
        <w:rPr>
          <w:noProof/>
          <w:szCs w:val="24"/>
        </w:rPr>
        <w:t xml:space="preserve">. </w:t>
      </w:r>
      <w:r>
        <w:rPr>
          <w:noProof/>
          <w:szCs w:val="24"/>
        </w:rPr>
        <w:t xml:space="preserve">Based on </w:t>
      </w:r>
      <w:r w:rsidR="00C865C3">
        <w:rPr>
          <w:noProof/>
          <w:szCs w:val="24"/>
        </w:rPr>
        <w:t>available evidence</w:t>
      </w:r>
      <w:r>
        <w:rPr>
          <w:noProof/>
          <w:szCs w:val="24"/>
        </w:rPr>
        <w:t xml:space="preserve">, </w:t>
      </w:r>
      <w:r w:rsidRPr="53B6F751">
        <w:rPr>
          <w:noProof/>
          <w:szCs w:val="24"/>
        </w:rPr>
        <w:t xml:space="preserve">contracting authorities </w:t>
      </w:r>
      <w:r>
        <w:rPr>
          <w:noProof/>
          <w:szCs w:val="24"/>
        </w:rPr>
        <w:t xml:space="preserve">sometimes </w:t>
      </w:r>
      <w:r w:rsidRPr="53B6F751">
        <w:rPr>
          <w:noProof/>
          <w:szCs w:val="24"/>
        </w:rPr>
        <w:t xml:space="preserve">fail to </w:t>
      </w:r>
      <w:r>
        <w:rPr>
          <w:noProof/>
          <w:szCs w:val="24"/>
        </w:rPr>
        <w:t xml:space="preserve">require the submission of FSR notifications </w:t>
      </w:r>
      <w:r w:rsidRPr="53B6F751">
        <w:rPr>
          <w:noProof/>
          <w:szCs w:val="24"/>
        </w:rPr>
        <w:t xml:space="preserve">or </w:t>
      </w:r>
      <w:r w:rsidR="00653519">
        <w:rPr>
          <w:noProof/>
          <w:szCs w:val="24"/>
        </w:rPr>
        <w:t>send</w:t>
      </w:r>
      <w:r w:rsidR="00653519" w:rsidRPr="53B6F751">
        <w:rPr>
          <w:noProof/>
          <w:szCs w:val="24"/>
        </w:rPr>
        <w:t xml:space="preserve"> </w:t>
      </w:r>
      <w:r>
        <w:rPr>
          <w:noProof/>
          <w:szCs w:val="24"/>
        </w:rPr>
        <w:t>them</w:t>
      </w:r>
      <w:r w:rsidRPr="53B6F751">
        <w:rPr>
          <w:noProof/>
          <w:szCs w:val="24"/>
        </w:rPr>
        <w:t xml:space="preserve"> </w:t>
      </w:r>
      <w:r>
        <w:rPr>
          <w:noProof/>
          <w:szCs w:val="24"/>
        </w:rPr>
        <w:t>to the Commission at a late stage of the procedure,</w:t>
      </w:r>
      <w:r w:rsidRPr="53B6F751">
        <w:rPr>
          <w:noProof/>
          <w:szCs w:val="24"/>
        </w:rPr>
        <w:t xml:space="preserve"> </w:t>
      </w:r>
      <w:r>
        <w:rPr>
          <w:noProof/>
          <w:szCs w:val="24"/>
        </w:rPr>
        <w:t>in exceptional cases</w:t>
      </w:r>
      <w:r w:rsidRPr="53B6F751">
        <w:rPr>
          <w:noProof/>
          <w:szCs w:val="24"/>
        </w:rPr>
        <w:t xml:space="preserve"> after the award of the contract.</w:t>
      </w:r>
      <w:r>
        <w:rPr>
          <w:noProof/>
          <w:szCs w:val="24"/>
        </w:rPr>
        <w:t xml:space="preserve"> In addition</w:t>
      </w:r>
      <w:r w:rsidRPr="53B6F751">
        <w:rPr>
          <w:noProof/>
          <w:szCs w:val="24"/>
        </w:rPr>
        <w:t xml:space="preserve">, </w:t>
      </w:r>
      <w:r>
        <w:rPr>
          <w:noProof/>
          <w:szCs w:val="24"/>
        </w:rPr>
        <w:t xml:space="preserve">notifications are not always submitted using </w:t>
      </w:r>
      <w:r w:rsidR="00653519">
        <w:rPr>
          <w:noProof/>
          <w:szCs w:val="24"/>
        </w:rPr>
        <w:t xml:space="preserve">a </w:t>
      </w:r>
      <w:r>
        <w:rPr>
          <w:noProof/>
          <w:szCs w:val="24"/>
        </w:rPr>
        <w:t xml:space="preserve">standard </w:t>
      </w:r>
      <w:r w:rsidR="00B10957">
        <w:rPr>
          <w:noProof/>
          <w:szCs w:val="24"/>
        </w:rPr>
        <w:t>Form FS-PP</w:t>
      </w:r>
      <w:r>
        <w:rPr>
          <w:noProof/>
          <w:szCs w:val="24"/>
        </w:rPr>
        <w:t xml:space="preserve">. These formats often lack the prescribed formal and substantive requirements or impose additional reporting requirements that go beyond those of </w:t>
      </w:r>
      <w:r w:rsidR="00B10957">
        <w:rPr>
          <w:noProof/>
          <w:szCs w:val="24"/>
        </w:rPr>
        <w:t>Form FS-PP</w:t>
      </w:r>
      <w:r>
        <w:rPr>
          <w:noProof/>
          <w:szCs w:val="24"/>
        </w:rPr>
        <w:t xml:space="preserve">. </w:t>
      </w:r>
    </w:p>
    <w:p w14:paraId="5C1EC7C4" w14:textId="77777777" w:rsidR="00C31F8E" w:rsidRPr="000B35A8" w:rsidRDefault="00C31F8E" w:rsidP="006041B3">
      <w:pPr>
        <w:pStyle w:val="ListParagraph"/>
        <w:keepNext/>
        <w:numPr>
          <w:ilvl w:val="0"/>
          <w:numId w:val="217"/>
        </w:numPr>
        <w:ind w:left="714" w:hanging="357"/>
        <w:rPr>
          <w:noProof/>
          <w:lang w:eastAsia="en-IE"/>
        </w:rPr>
      </w:pPr>
      <w:bookmarkStart w:id="120" w:name="_Toc228286496"/>
      <w:r w:rsidRPr="00836900">
        <w:rPr>
          <w:i/>
          <w:noProof/>
          <w:lang w:eastAsia="en-IE"/>
        </w:rPr>
        <w:t>Recurring submissions</w:t>
      </w:r>
      <w:bookmarkEnd w:id="120"/>
    </w:p>
    <w:p w14:paraId="23E28684" w14:textId="6CFCCBFE" w:rsidR="00C31F8E" w:rsidRDefault="00C31F8E" w:rsidP="00C31F8E">
      <w:pPr>
        <w:rPr>
          <w:noProof/>
          <w:szCs w:val="24"/>
        </w:rPr>
      </w:pPr>
      <w:r>
        <w:rPr>
          <w:noProof/>
          <w:szCs w:val="24"/>
        </w:rPr>
        <w:t>The</w:t>
      </w:r>
      <w:r w:rsidRPr="00D63A63">
        <w:rPr>
          <w:noProof/>
          <w:szCs w:val="24"/>
        </w:rPr>
        <w:t xml:space="preserve"> analysis of internal </w:t>
      </w:r>
      <w:r w:rsidRPr="2AABF966">
        <w:rPr>
          <w:noProof/>
          <w:szCs w:val="24"/>
        </w:rPr>
        <w:t>data</w:t>
      </w:r>
      <w:r>
        <w:rPr>
          <w:noProof/>
          <w:szCs w:val="24"/>
        </w:rPr>
        <w:t xml:space="preserve"> collected</w:t>
      </w:r>
      <w:r w:rsidRPr="00D63A63">
        <w:rPr>
          <w:noProof/>
          <w:szCs w:val="24"/>
        </w:rPr>
        <w:t xml:space="preserve"> from the</w:t>
      </w:r>
      <w:r>
        <w:rPr>
          <w:noProof/>
          <w:szCs w:val="24"/>
        </w:rPr>
        <w:t xml:space="preserve"> start of the FSR </w:t>
      </w:r>
      <w:r w:rsidRPr="339AB318">
        <w:rPr>
          <w:noProof/>
          <w:szCs w:val="24"/>
        </w:rPr>
        <w:t>reporting</w:t>
      </w:r>
      <w:r>
        <w:rPr>
          <w:noProof/>
          <w:szCs w:val="24"/>
        </w:rPr>
        <w:t xml:space="preserve"> obligation until 31 January 2026</w:t>
      </w:r>
      <w:r w:rsidRPr="00D63A63">
        <w:rPr>
          <w:noProof/>
          <w:szCs w:val="24"/>
        </w:rPr>
        <w:t xml:space="preserve"> has shown that there</w:t>
      </w:r>
      <w:r>
        <w:rPr>
          <w:noProof/>
          <w:szCs w:val="24"/>
        </w:rPr>
        <w:t xml:space="preserve"> are</w:t>
      </w:r>
      <w:r w:rsidRPr="00D63A63">
        <w:rPr>
          <w:noProof/>
          <w:szCs w:val="24"/>
        </w:rPr>
        <w:t xml:space="preserve"> </w:t>
      </w:r>
      <w:r>
        <w:rPr>
          <w:noProof/>
          <w:szCs w:val="24"/>
        </w:rPr>
        <w:t>several</w:t>
      </w:r>
      <w:r w:rsidRPr="00D63A63">
        <w:rPr>
          <w:noProof/>
          <w:szCs w:val="24"/>
        </w:rPr>
        <w:t xml:space="preserve"> economic operators</w:t>
      </w:r>
      <w:r>
        <w:rPr>
          <w:noProof/>
          <w:szCs w:val="24"/>
        </w:rPr>
        <w:t xml:space="preserve"> or entities belonging to the same</w:t>
      </w:r>
      <w:r w:rsidDel="001D5153">
        <w:rPr>
          <w:noProof/>
          <w:szCs w:val="24"/>
        </w:rPr>
        <w:t xml:space="preserve"> </w:t>
      </w:r>
      <w:r>
        <w:rPr>
          <w:noProof/>
          <w:szCs w:val="24"/>
        </w:rPr>
        <w:t xml:space="preserve">corporate group, that </w:t>
      </w:r>
      <w:r w:rsidRPr="00D63A63">
        <w:rPr>
          <w:noProof/>
          <w:szCs w:val="24"/>
        </w:rPr>
        <w:t>repeatedly participate</w:t>
      </w:r>
      <w:r>
        <w:rPr>
          <w:noProof/>
          <w:szCs w:val="24"/>
        </w:rPr>
        <w:t>d</w:t>
      </w:r>
      <w:r w:rsidRPr="00D63A63">
        <w:rPr>
          <w:noProof/>
          <w:szCs w:val="24"/>
        </w:rPr>
        <w:t xml:space="preserve"> in public procurement procedures </w:t>
      </w:r>
      <w:r>
        <w:rPr>
          <w:noProof/>
          <w:szCs w:val="24"/>
        </w:rPr>
        <w:t>that meet the jurisdictional threshold for the application of the FSR, resulting in</w:t>
      </w:r>
      <w:r w:rsidRPr="00D63A63">
        <w:rPr>
          <w:noProof/>
          <w:szCs w:val="24"/>
        </w:rPr>
        <w:t xml:space="preserve"> multiple FSR submission</w:t>
      </w:r>
      <w:r>
        <w:rPr>
          <w:noProof/>
          <w:szCs w:val="24"/>
        </w:rPr>
        <w:t>s during the reference period</w:t>
      </w:r>
      <w:r w:rsidRPr="00D63A63">
        <w:rPr>
          <w:noProof/>
          <w:szCs w:val="24"/>
        </w:rPr>
        <w:t xml:space="preserve">. </w:t>
      </w:r>
      <w:bookmarkStart w:id="121" w:name="_Hlk228809323"/>
      <w:r>
        <w:rPr>
          <w:noProof/>
          <w:szCs w:val="24"/>
        </w:rPr>
        <w:t>During this period, t</w:t>
      </w:r>
      <w:r w:rsidRPr="00D63A63">
        <w:rPr>
          <w:noProof/>
          <w:szCs w:val="24"/>
        </w:rPr>
        <w:t xml:space="preserve">he </w:t>
      </w:r>
      <w:r w:rsidRPr="15ECC5AD">
        <w:rPr>
          <w:noProof/>
          <w:szCs w:val="24"/>
        </w:rPr>
        <w:t>40</w:t>
      </w:r>
      <w:r w:rsidRPr="00D63A63">
        <w:rPr>
          <w:noProof/>
          <w:szCs w:val="24"/>
        </w:rPr>
        <w:t xml:space="preserve"> economic operators </w:t>
      </w:r>
      <w:r>
        <w:rPr>
          <w:noProof/>
          <w:szCs w:val="24"/>
        </w:rPr>
        <w:t xml:space="preserve">that submitted </w:t>
      </w:r>
      <w:r w:rsidR="00B10957">
        <w:rPr>
          <w:noProof/>
          <w:szCs w:val="24"/>
        </w:rPr>
        <w:t>Form</w:t>
      </w:r>
      <w:r w:rsidR="00DE5726">
        <w:rPr>
          <w:noProof/>
          <w:szCs w:val="24"/>
        </w:rPr>
        <w:t>s</w:t>
      </w:r>
      <w:r w:rsidR="00B10957">
        <w:rPr>
          <w:noProof/>
          <w:szCs w:val="24"/>
        </w:rPr>
        <w:t xml:space="preserve"> FS-PP</w:t>
      </w:r>
      <w:r w:rsidRPr="00D63A63">
        <w:rPr>
          <w:noProof/>
          <w:szCs w:val="24"/>
        </w:rPr>
        <w:t xml:space="preserve"> the most frequently </w:t>
      </w:r>
      <w:r>
        <w:rPr>
          <w:noProof/>
          <w:szCs w:val="24"/>
        </w:rPr>
        <w:t>account for</w:t>
      </w:r>
      <w:r w:rsidRPr="00D63A63">
        <w:rPr>
          <w:noProof/>
          <w:szCs w:val="24"/>
        </w:rPr>
        <w:t xml:space="preserve"> </w:t>
      </w:r>
      <w:bookmarkStart w:id="122" w:name="_Int_gYKano9b"/>
      <w:r w:rsidRPr="00184ACB">
        <w:rPr>
          <w:noProof/>
          <w:szCs w:val="24"/>
        </w:rPr>
        <w:t>1</w:t>
      </w:r>
      <w:r w:rsidR="00C865C3">
        <w:rPr>
          <w:noProof/>
          <w:szCs w:val="24"/>
        </w:rPr>
        <w:t>6</w:t>
      </w:r>
      <w:r w:rsidRPr="00D63A63">
        <w:rPr>
          <w:noProof/>
          <w:szCs w:val="24"/>
        </w:rPr>
        <w:t>%</w:t>
      </w:r>
      <w:bookmarkEnd w:id="122"/>
      <w:r w:rsidRPr="00D63A63">
        <w:rPr>
          <w:noProof/>
          <w:szCs w:val="24"/>
        </w:rPr>
        <w:t xml:space="preserve"> of </w:t>
      </w:r>
      <w:r>
        <w:rPr>
          <w:noProof/>
          <w:szCs w:val="24"/>
        </w:rPr>
        <w:t>all</w:t>
      </w:r>
      <w:r w:rsidRPr="00D63A63">
        <w:rPr>
          <w:noProof/>
          <w:szCs w:val="24"/>
        </w:rPr>
        <w:t xml:space="preserve"> submissions (</w:t>
      </w:r>
      <w:r w:rsidRPr="15ECC5AD">
        <w:rPr>
          <w:noProof/>
          <w:szCs w:val="24"/>
        </w:rPr>
        <w:t>672</w:t>
      </w:r>
      <w:r>
        <w:rPr>
          <w:noProof/>
          <w:szCs w:val="24"/>
        </w:rPr>
        <w:t xml:space="preserve"> in total</w:t>
      </w:r>
      <w:r w:rsidRPr="00D63A63">
        <w:rPr>
          <w:noProof/>
          <w:szCs w:val="24"/>
        </w:rPr>
        <w:t xml:space="preserve">). </w:t>
      </w:r>
      <w:bookmarkStart w:id="123" w:name="_Hlk228809356"/>
      <w:bookmarkEnd w:id="121"/>
      <w:r>
        <w:rPr>
          <w:noProof/>
          <w:szCs w:val="24"/>
        </w:rPr>
        <w:t xml:space="preserve">During the reference period, the highest number of </w:t>
      </w:r>
      <w:r w:rsidR="00B10957">
        <w:rPr>
          <w:noProof/>
          <w:szCs w:val="24"/>
        </w:rPr>
        <w:t>FS-PP</w:t>
      </w:r>
      <w:r w:rsidR="00653519">
        <w:rPr>
          <w:noProof/>
          <w:szCs w:val="24"/>
        </w:rPr>
        <w:t xml:space="preserve"> forms</w:t>
      </w:r>
      <w:r>
        <w:rPr>
          <w:noProof/>
          <w:szCs w:val="24"/>
        </w:rPr>
        <w:t xml:space="preserve">, 51 in total, was submitted by an economic operator active across key sectors. This was followed by two economic operators in the construction sector, which submitted 43 and 36 </w:t>
      </w:r>
      <w:r w:rsidR="00B10957">
        <w:rPr>
          <w:noProof/>
          <w:szCs w:val="24"/>
        </w:rPr>
        <w:t>FS-PP</w:t>
      </w:r>
      <w:r w:rsidR="00653519">
        <w:rPr>
          <w:noProof/>
          <w:szCs w:val="24"/>
        </w:rPr>
        <w:t xml:space="preserve"> forms</w:t>
      </w:r>
      <w:r>
        <w:rPr>
          <w:noProof/>
          <w:szCs w:val="24"/>
        </w:rPr>
        <w:t xml:space="preserve"> respectively.</w:t>
      </w:r>
    </w:p>
    <w:p w14:paraId="3072FEE7" w14:textId="77777777" w:rsidR="00C31F8E" w:rsidRPr="000B35A8" w:rsidRDefault="00C31F8E" w:rsidP="006041B3">
      <w:pPr>
        <w:pStyle w:val="ListParagraph"/>
        <w:keepNext/>
        <w:numPr>
          <w:ilvl w:val="0"/>
          <w:numId w:val="217"/>
        </w:numPr>
        <w:ind w:left="714" w:hanging="357"/>
        <w:rPr>
          <w:noProof/>
          <w:lang w:eastAsia="en-IE"/>
        </w:rPr>
      </w:pPr>
      <w:bookmarkStart w:id="124" w:name="_Ref227665968"/>
      <w:bookmarkStart w:id="125" w:name="_Toc228286497"/>
      <w:bookmarkEnd w:id="123"/>
      <w:r w:rsidRPr="00836900">
        <w:rPr>
          <w:i/>
          <w:noProof/>
          <w:lang w:eastAsia="en-IE"/>
        </w:rPr>
        <w:t>Distribution of cases per contract value</w:t>
      </w:r>
      <w:bookmarkEnd w:id="124"/>
      <w:bookmarkEnd w:id="125"/>
    </w:p>
    <w:p w14:paraId="46A9BE82" w14:textId="0E2F8D9F" w:rsidR="00C31F8E" w:rsidRDefault="00C31F8E" w:rsidP="00C31F8E">
      <w:pPr>
        <w:pStyle w:val="Text2"/>
        <w:ind w:left="0"/>
        <w:rPr>
          <w:noProof/>
        </w:rPr>
      </w:pPr>
      <w:r>
        <w:rPr>
          <w:noProof/>
          <w:lang w:val="en-US"/>
        </w:rPr>
        <w:t xml:space="preserve">The FSR Review Study assessed how submissions are distributed across public procurement procedures </w:t>
      </w:r>
      <w:r w:rsidR="00F178D9">
        <w:rPr>
          <w:noProof/>
          <w:lang w:val="en-US"/>
        </w:rPr>
        <w:t>according to</w:t>
      </w:r>
      <w:r>
        <w:rPr>
          <w:noProof/>
          <w:lang w:val="en-US"/>
        </w:rPr>
        <w:t xml:space="preserve"> estimated contract values. This analysis covers the period from October 2023 until June 2025, and did not include those in which specific value was not available, i.e. because the contracting authority did not publish the estimated contract values. The Commission</w:t>
      </w:r>
      <w:r w:rsidR="001E3537">
        <w:rPr>
          <w:noProof/>
          <w:lang w:val="en-US"/>
        </w:rPr>
        <w:t xml:space="preserve"> </w:t>
      </w:r>
      <w:r w:rsidR="004334C4">
        <w:rPr>
          <w:noProof/>
          <w:lang w:val="en-US"/>
        </w:rPr>
        <w:t>services’</w:t>
      </w:r>
      <w:r>
        <w:rPr>
          <w:noProof/>
          <w:lang w:val="en-US"/>
        </w:rPr>
        <w:t xml:space="preserve"> own data derived from submissions </w:t>
      </w:r>
      <w:r w:rsidR="00414735">
        <w:rPr>
          <w:noProof/>
          <w:lang w:val="en-US"/>
        </w:rPr>
        <w:t xml:space="preserve">covering the same period </w:t>
      </w:r>
      <w:r>
        <w:rPr>
          <w:noProof/>
          <w:lang w:val="en-US"/>
        </w:rPr>
        <w:t xml:space="preserve">shows that this was the case for 7 % of the notified procedures (50 out of 737). In </w:t>
      </w:r>
      <w:r w:rsidR="00FD5F67">
        <w:rPr>
          <w:noProof/>
          <w:lang w:val="en-US"/>
        </w:rPr>
        <w:t xml:space="preserve">a </w:t>
      </w:r>
      <w:r>
        <w:rPr>
          <w:noProof/>
          <w:lang w:val="en-US"/>
        </w:rPr>
        <w:t>further 1% of cases (eight out of 737) contracting authorities reported ranges instead of estimated contract values (e.g. more than EUR 250 million, more than EUR 700 million). It is possible that for some procedures contracting authorities did not estimate the contract value and did not notify the Commission. Furthermore, the Commission</w:t>
      </w:r>
      <w:r w:rsidR="001E3537">
        <w:rPr>
          <w:noProof/>
          <w:lang w:val="en-US"/>
        </w:rPr>
        <w:t xml:space="preserve"> services</w:t>
      </w:r>
      <w:r>
        <w:rPr>
          <w:noProof/>
          <w:lang w:val="en-US"/>
        </w:rPr>
        <w:t xml:space="preserve"> data does not allow </w:t>
      </w:r>
      <w:r w:rsidR="00653519">
        <w:rPr>
          <w:noProof/>
          <w:lang w:val="en-US"/>
        </w:rPr>
        <w:t>conclusions</w:t>
      </w:r>
      <w:r>
        <w:rPr>
          <w:noProof/>
          <w:lang w:val="en-US"/>
        </w:rPr>
        <w:t xml:space="preserve"> on the number of such public procurement procedures</w:t>
      </w:r>
      <w:r w:rsidR="00653519">
        <w:rPr>
          <w:noProof/>
          <w:lang w:val="en-US"/>
        </w:rPr>
        <w:t xml:space="preserve"> to be drawn</w:t>
      </w:r>
      <w:r>
        <w:rPr>
          <w:noProof/>
          <w:lang w:val="en-US"/>
        </w:rPr>
        <w:t xml:space="preserve">. </w:t>
      </w:r>
      <w:r>
        <w:rPr>
          <w:noProof/>
        </w:rPr>
        <w:t xml:space="preserve">According to the FSR Review Study, </w:t>
      </w:r>
      <w:bookmarkStart w:id="126" w:name="_Hlk228809399"/>
      <w:r>
        <w:rPr>
          <w:noProof/>
        </w:rPr>
        <w:t xml:space="preserve">approximately </w:t>
      </w:r>
      <w:r w:rsidRPr="00E95035">
        <w:rPr>
          <w:noProof/>
        </w:rPr>
        <w:t xml:space="preserve">40% of </w:t>
      </w:r>
      <w:r>
        <w:rPr>
          <w:noProof/>
        </w:rPr>
        <w:t xml:space="preserve">all </w:t>
      </w:r>
      <w:r w:rsidRPr="00E95035">
        <w:rPr>
          <w:noProof/>
        </w:rPr>
        <w:t xml:space="preserve">submissions were </w:t>
      </w:r>
      <w:r>
        <w:rPr>
          <w:noProof/>
        </w:rPr>
        <w:t xml:space="preserve">made in public procurement procedures with an estimated value net of VAT between </w:t>
      </w:r>
      <w:r w:rsidR="001F4E8C" w:rsidRPr="003547DF">
        <w:rPr>
          <w:noProof/>
        </w:rPr>
        <w:t>EUR</w:t>
      </w:r>
      <w:r w:rsidR="001F4E8C">
        <w:rPr>
          <w:noProof/>
        </w:rPr>
        <w:t> </w:t>
      </w:r>
      <w:r w:rsidRPr="003547DF">
        <w:rPr>
          <w:noProof/>
        </w:rPr>
        <w:t xml:space="preserve">250 million and </w:t>
      </w:r>
      <w:r w:rsidR="001F4E8C" w:rsidRPr="003547DF">
        <w:rPr>
          <w:noProof/>
        </w:rPr>
        <w:t>EUR</w:t>
      </w:r>
      <w:r w:rsidR="001F4E8C">
        <w:rPr>
          <w:noProof/>
        </w:rPr>
        <w:t> </w:t>
      </w:r>
      <w:r w:rsidRPr="003547DF">
        <w:rPr>
          <w:noProof/>
        </w:rPr>
        <w:t xml:space="preserve">500 million. The remaining </w:t>
      </w:r>
      <w:r>
        <w:rPr>
          <w:noProof/>
        </w:rPr>
        <w:t>60% of all submissions</w:t>
      </w:r>
      <w:r w:rsidRPr="003547DF">
        <w:rPr>
          <w:noProof/>
        </w:rPr>
        <w:t xml:space="preserve"> represented bids for amounts superior to </w:t>
      </w:r>
      <w:r w:rsidR="001F4E8C" w:rsidRPr="003547DF">
        <w:rPr>
          <w:noProof/>
        </w:rPr>
        <w:t>EUR</w:t>
      </w:r>
      <w:r w:rsidR="001F4E8C">
        <w:rPr>
          <w:noProof/>
        </w:rPr>
        <w:t> </w:t>
      </w:r>
      <w:r w:rsidRPr="003547DF">
        <w:rPr>
          <w:noProof/>
        </w:rPr>
        <w:t>500 million.</w:t>
      </w:r>
    </w:p>
    <w:p w14:paraId="7E0356AB" w14:textId="3335FFA0" w:rsidR="00B0754D" w:rsidRDefault="00B0754D" w:rsidP="000E15D4">
      <w:pPr>
        <w:pStyle w:val="Caption"/>
        <w:rPr>
          <w:noProof/>
        </w:rPr>
      </w:pPr>
      <w:r w:rsidRPr="005F1BD2">
        <w:rPr>
          <w:noProof/>
        </w:rPr>
        <w:t xml:space="preserve">Figure </w:t>
      </w:r>
      <w:r w:rsidRPr="005F1BD2">
        <w:rPr>
          <w:noProof/>
        </w:rPr>
        <w:fldChar w:fldCharType="begin"/>
      </w:r>
      <w:r w:rsidRPr="005F1BD2">
        <w:rPr>
          <w:noProof/>
        </w:rPr>
        <w:instrText xml:space="preserve"> SEQ Figure \* ARABIC </w:instrText>
      </w:r>
      <w:r w:rsidRPr="005F1BD2">
        <w:rPr>
          <w:noProof/>
        </w:rPr>
        <w:fldChar w:fldCharType="separate"/>
      </w:r>
      <w:r w:rsidR="00227418">
        <w:rPr>
          <w:noProof/>
        </w:rPr>
        <w:t>12</w:t>
      </w:r>
      <w:r w:rsidRPr="005F1BD2">
        <w:rPr>
          <w:noProof/>
        </w:rPr>
        <w:fldChar w:fldCharType="end"/>
      </w:r>
      <w:r w:rsidRPr="0048120A">
        <w:rPr>
          <w:noProof/>
        </w:rPr>
        <w:t>:</w:t>
      </w:r>
      <w:r>
        <w:rPr>
          <w:noProof/>
        </w:rPr>
        <w:t xml:space="preserve"> Hypothetical distribution of cases </w:t>
      </w:r>
      <w:r w:rsidR="00653519">
        <w:rPr>
          <w:noProof/>
        </w:rPr>
        <w:t>if</w:t>
      </w:r>
      <w:r>
        <w:rPr>
          <w:noProof/>
        </w:rPr>
        <w:t xml:space="preserve"> the jurisdictional threshold</w:t>
      </w:r>
      <w:r w:rsidR="00653519">
        <w:rPr>
          <w:noProof/>
        </w:rPr>
        <w:t xml:space="preserve"> were raised</w:t>
      </w:r>
    </w:p>
    <w:bookmarkEnd w:id="126"/>
    <w:p w14:paraId="78FE4BDA" w14:textId="2E6F765D" w:rsidR="00C31F8E" w:rsidRDefault="00C31F8E" w:rsidP="00FF6589">
      <w:pPr>
        <w:pStyle w:val="Figure"/>
        <w:rPr>
          <w:noProof/>
        </w:rPr>
      </w:pPr>
      <w:r w:rsidRPr="00096BA9">
        <w:rPr>
          <w:noProof/>
          <w:lang w:eastAsia="en-GB"/>
        </w:rPr>
        <w:drawing>
          <wp:inline distT="0" distB="0" distL="0" distR="0" wp14:anchorId="415C958E" wp14:editId="17E2370A">
            <wp:extent cx="4332868" cy="2597675"/>
            <wp:effectExtent l="0" t="0" r="0" b="0"/>
            <wp:docPr id="612198944" name="Picture 2" descr="A graph showing a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960468" name="Picture 2" descr="A graph showing a blue line&#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4332868" cy="2597675"/>
                    </a:xfrm>
                    <a:prstGeom prst="rect">
                      <a:avLst/>
                    </a:prstGeom>
                    <a:noFill/>
                    <a:ln>
                      <a:noFill/>
                    </a:ln>
                  </pic:spPr>
                </pic:pic>
              </a:graphicData>
            </a:graphic>
          </wp:inline>
        </w:drawing>
      </w:r>
    </w:p>
    <w:p w14:paraId="63DBA363" w14:textId="51311ACE" w:rsidR="00414735" w:rsidRPr="00414735" w:rsidRDefault="00414735" w:rsidP="00FF6589">
      <w:pPr>
        <w:pStyle w:val="Source"/>
        <w:rPr>
          <w:noProof/>
        </w:rPr>
      </w:pPr>
      <w:r w:rsidRPr="00414735">
        <w:rPr>
          <w:noProof/>
        </w:rPr>
        <w:t xml:space="preserve">Source: </w:t>
      </w:r>
      <w:r w:rsidR="0057334A">
        <w:rPr>
          <w:noProof/>
        </w:rPr>
        <w:t>FSR Review Study</w:t>
      </w:r>
      <w:r w:rsidR="001F4E8C">
        <w:rPr>
          <w:noProof/>
        </w:rPr>
        <w:t>.</w:t>
      </w:r>
    </w:p>
    <w:p w14:paraId="4EB0E71A" w14:textId="1EEDE83F" w:rsidR="00C31F8E" w:rsidRDefault="00C31F8E" w:rsidP="00C31F8E">
      <w:pPr>
        <w:spacing w:before="240" w:after="240"/>
        <w:rPr>
          <w:noProof/>
          <w:szCs w:val="24"/>
        </w:rPr>
      </w:pPr>
      <w:r w:rsidRPr="000543F8">
        <w:rPr>
          <w:noProof/>
          <w:szCs w:val="24"/>
        </w:rPr>
        <w:t xml:space="preserve">The diagram </w:t>
      </w:r>
      <w:r w:rsidR="00653519" w:rsidRPr="000543F8">
        <w:rPr>
          <w:noProof/>
          <w:szCs w:val="24"/>
        </w:rPr>
        <w:t xml:space="preserve">above </w:t>
      </w:r>
      <w:r w:rsidRPr="000543F8">
        <w:rPr>
          <w:noProof/>
          <w:szCs w:val="24"/>
        </w:rPr>
        <w:t>shows the hypothetical distribution of cases</w:t>
      </w:r>
      <w:r>
        <w:rPr>
          <w:noProof/>
          <w:szCs w:val="24"/>
        </w:rPr>
        <w:t xml:space="preserve"> </w:t>
      </w:r>
      <w:r w:rsidR="00653519">
        <w:rPr>
          <w:noProof/>
          <w:szCs w:val="24"/>
        </w:rPr>
        <w:t>if</w:t>
      </w:r>
      <w:r>
        <w:rPr>
          <w:noProof/>
          <w:szCs w:val="24"/>
        </w:rPr>
        <w:t xml:space="preserve"> the jurisdictional threshold</w:t>
      </w:r>
      <w:r w:rsidR="00FE5E4F">
        <w:rPr>
          <w:noProof/>
          <w:szCs w:val="24"/>
        </w:rPr>
        <w:t xml:space="preserve"> were raised</w:t>
      </w:r>
      <w:r>
        <w:rPr>
          <w:noProof/>
          <w:szCs w:val="24"/>
        </w:rPr>
        <w:t xml:space="preserve">. This leads to the following conclusions: first, an increase of 20% of the jurisdictional threshold (to </w:t>
      </w:r>
      <w:r w:rsidR="001F4E8C">
        <w:rPr>
          <w:noProof/>
          <w:szCs w:val="24"/>
        </w:rPr>
        <w:t>EUR </w:t>
      </w:r>
      <w:r>
        <w:rPr>
          <w:noProof/>
          <w:szCs w:val="24"/>
        </w:rPr>
        <w:t xml:space="preserve">300 million) </w:t>
      </w:r>
      <w:r w:rsidR="005D6922">
        <w:rPr>
          <w:noProof/>
          <w:szCs w:val="24"/>
        </w:rPr>
        <w:t>w</w:t>
      </w:r>
      <w:r>
        <w:rPr>
          <w:noProof/>
          <w:szCs w:val="24"/>
        </w:rPr>
        <w:t>ould achieve a reduction of approx</w:t>
      </w:r>
      <w:r w:rsidR="00FE5E4F">
        <w:rPr>
          <w:noProof/>
          <w:szCs w:val="24"/>
        </w:rPr>
        <w:t>imately</w:t>
      </w:r>
      <w:r>
        <w:rPr>
          <w:noProof/>
          <w:szCs w:val="24"/>
        </w:rPr>
        <w:t xml:space="preserve"> 15% in the number of submissions</w:t>
      </w:r>
      <w:r w:rsidR="005D6922">
        <w:rPr>
          <w:noProof/>
          <w:szCs w:val="24"/>
        </w:rPr>
        <w:t>;</w:t>
      </w:r>
      <w:r>
        <w:rPr>
          <w:noProof/>
          <w:szCs w:val="24"/>
        </w:rPr>
        <w:t xml:space="preserve"> </w:t>
      </w:r>
      <w:r w:rsidR="00BC2358">
        <w:rPr>
          <w:noProof/>
          <w:szCs w:val="24"/>
        </w:rPr>
        <w:t>second</w:t>
      </w:r>
      <w:r>
        <w:rPr>
          <w:noProof/>
          <w:szCs w:val="24"/>
        </w:rPr>
        <w:t xml:space="preserve">, a significant increase of the jurisdictional threshold to </w:t>
      </w:r>
      <w:r w:rsidR="001F4E8C">
        <w:rPr>
          <w:noProof/>
          <w:szCs w:val="24"/>
        </w:rPr>
        <w:t>EUR </w:t>
      </w:r>
      <w:r>
        <w:rPr>
          <w:noProof/>
          <w:szCs w:val="24"/>
        </w:rPr>
        <w:t xml:space="preserve">500 million </w:t>
      </w:r>
      <w:r w:rsidR="005D6922">
        <w:rPr>
          <w:noProof/>
          <w:szCs w:val="24"/>
        </w:rPr>
        <w:t>w</w:t>
      </w:r>
      <w:r>
        <w:rPr>
          <w:noProof/>
          <w:szCs w:val="24"/>
        </w:rPr>
        <w:t xml:space="preserve">ould achieve a decrease in the number of cases </w:t>
      </w:r>
      <w:r w:rsidR="005D6922">
        <w:rPr>
          <w:noProof/>
          <w:szCs w:val="24"/>
        </w:rPr>
        <w:t xml:space="preserve">by </w:t>
      </w:r>
      <w:r w:rsidR="001063F0">
        <w:rPr>
          <w:noProof/>
          <w:szCs w:val="24"/>
        </w:rPr>
        <w:t xml:space="preserve">more than 55%; </w:t>
      </w:r>
      <w:r>
        <w:rPr>
          <w:noProof/>
          <w:szCs w:val="24"/>
        </w:rPr>
        <w:t xml:space="preserve">finally a significant share of 25% of all cases reach a value of </w:t>
      </w:r>
      <w:r w:rsidR="001F4E8C">
        <w:rPr>
          <w:noProof/>
          <w:szCs w:val="24"/>
        </w:rPr>
        <w:t>EUR </w:t>
      </w:r>
      <w:r>
        <w:rPr>
          <w:noProof/>
          <w:szCs w:val="24"/>
        </w:rPr>
        <w:t>1 billion.</w:t>
      </w:r>
    </w:p>
    <w:p w14:paraId="739EA27D" w14:textId="77777777" w:rsidR="00C31F8E" w:rsidRPr="000B35A8" w:rsidRDefault="00C31F8E" w:rsidP="006041B3">
      <w:pPr>
        <w:pStyle w:val="ListParagraph"/>
        <w:keepNext/>
        <w:numPr>
          <w:ilvl w:val="0"/>
          <w:numId w:val="217"/>
        </w:numPr>
        <w:ind w:left="714" w:hanging="357"/>
        <w:rPr>
          <w:noProof/>
          <w:lang w:eastAsia="en-IE"/>
        </w:rPr>
      </w:pPr>
      <w:bookmarkStart w:id="127" w:name="_Toc228286498"/>
      <w:r w:rsidRPr="00836900">
        <w:rPr>
          <w:i/>
          <w:noProof/>
          <w:lang w:eastAsia="en-IE"/>
        </w:rPr>
        <w:t>Global Ultimate Ownership of Economic Operators</w:t>
      </w:r>
      <w:bookmarkEnd w:id="127"/>
    </w:p>
    <w:p w14:paraId="27CC91A5" w14:textId="435CBD41" w:rsidR="00C31F8E" w:rsidRDefault="00C31F8E" w:rsidP="00C31F8E">
      <w:pPr>
        <w:pStyle w:val="Text2"/>
        <w:ind w:left="0"/>
        <w:rPr>
          <w:noProof/>
        </w:rPr>
      </w:pPr>
      <w:r w:rsidRPr="00D60A3E">
        <w:rPr>
          <w:noProof/>
        </w:rPr>
        <w:t xml:space="preserve">The Commission </w:t>
      </w:r>
      <w:r w:rsidR="001E3537">
        <w:rPr>
          <w:noProof/>
        </w:rPr>
        <w:t>services</w:t>
      </w:r>
      <w:r w:rsidRPr="00D60A3E">
        <w:rPr>
          <w:noProof/>
        </w:rPr>
        <w:t xml:space="preserve"> systematically review the place of establishment of the economic operator and that of its global ultimate owner (</w:t>
      </w:r>
      <w:r w:rsidR="001238DC">
        <w:rPr>
          <w:noProof/>
        </w:rPr>
        <w:t>‘</w:t>
      </w:r>
      <w:r w:rsidRPr="00D60A3E">
        <w:rPr>
          <w:noProof/>
        </w:rPr>
        <w:t>GUO</w:t>
      </w:r>
      <w:r w:rsidR="001238DC">
        <w:rPr>
          <w:noProof/>
        </w:rPr>
        <w:t>’</w:t>
      </w:r>
      <w:r w:rsidRPr="00D60A3E">
        <w:rPr>
          <w:noProof/>
        </w:rPr>
        <w:t>)</w:t>
      </w:r>
      <w:r w:rsidR="00230AD6" w:rsidRPr="00230AD6">
        <w:rPr>
          <w:noProof/>
        </w:rPr>
        <w:t> (</w:t>
      </w:r>
      <w:r>
        <w:rPr>
          <w:rStyle w:val="FootnoteReference"/>
          <w:noProof/>
        </w:rPr>
        <w:footnoteReference w:id="76"/>
      </w:r>
      <w:r w:rsidR="00230AD6">
        <w:rPr>
          <w:noProof/>
        </w:rPr>
        <w:t>)</w:t>
      </w:r>
      <w:r w:rsidRPr="00D60A3E">
        <w:rPr>
          <w:noProof/>
        </w:rPr>
        <w:t xml:space="preserve">. This constitutes an integral part of the Commission’s assessment. </w:t>
      </w:r>
      <w:r>
        <w:rPr>
          <w:noProof/>
        </w:rPr>
        <w:t xml:space="preserve">To define the GUO, the Commission </w:t>
      </w:r>
      <w:r w:rsidR="00D35535">
        <w:rPr>
          <w:noProof/>
        </w:rPr>
        <w:t xml:space="preserve">services </w:t>
      </w:r>
      <w:r>
        <w:rPr>
          <w:noProof/>
        </w:rPr>
        <w:t>follow the controlling shareholding line of the economic operator up until the last entity that holds directly or indirectly the majority of the shares of the economic operator. For the purposes of the current analysis, covering the</w:t>
      </w:r>
      <w:r w:rsidRPr="001144B2">
        <w:rPr>
          <w:noProof/>
        </w:rPr>
        <w:t xml:space="preserve"> </w:t>
      </w:r>
      <w:r>
        <w:rPr>
          <w:noProof/>
        </w:rPr>
        <w:t>period b</w:t>
      </w:r>
      <w:r w:rsidRPr="004A2CCD">
        <w:rPr>
          <w:noProof/>
        </w:rPr>
        <w:t xml:space="preserve">etween </w:t>
      </w:r>
      <w:r w:rsidRPr="00D35463">
        <w:rPr>
          <w:noProof/>
        </w:rPr>
        <w:t>October 2023 and</w:t>
      </w:r>
      <w:r>
        <w:rPr>
          <w:noProof/>
        </w:rPr>
        <w:t xml:space="preserve"> </w:t>
      </w:r>
      <w:r w:rsidRPr="00D35463">
        <w:rPr>
          <w:noProof/>
        </w:rPr>
        <w:t>December 2025</w:t>
      </w:r>
      <w:r>
        <w:rPr>
          <w:noProof/>
        </w:rPr>
        <w:t xml:space="preserve">, the Commission </w:t>
      </w:r>
      <w:r w:rsidR="00D35535">
        <w:rPr>
          <w:noProof/>
        </w:rPr>
        <w:t xml:space="preserve">services </w:t>
      </w:r>
      <w:r>
        <w:rPr>
          <w:noProof/>
        </w:rPr>
        <w:t>matched the name of the economic operator, or in case of a consortium, the name of individual members of a consortium with the Orbis database. Thus, the number of companies listed in the submissions increased to 5</w:t>
      </w:r>
      <w:r w:rsidR="001F4E8C">
        <w:rPr>
          <w:noProof/>
        </w:rPr>
        <w:t> </w:t>
      </w:r>
      <w:r>
        <w:rPr>
          <w:noProof/>
        </w:rPr>
        <w:t>745.</w:t>
      </w:r>
    </w:p>
    <w:p w14:paraId="6DFC20B5" w14:textId="133AAC82" w:rsidR="00C31F8E" w:rsidRPr="0014126C" w:rsidRDefault="00C31F8E" w:rsidP="00C31F8E">
      <w:pPr>
        <w:pStyle w:val="Text2"/>
        <w:ind w:left="0"/>
        <w:rPr>
          <w:noProof/>
        </w:rPr>
      </w:pPr>
      <w:bookmarkStart w:id="128" w:name="_Hlk228809455"/>
      <w:r>
        <w:rPr>
          <w:noProof/>
        </w:rPr>
        <w:t xml:space="preserve">In its analysis, the Commission </w:t>
      </w:r>
      <w:r w:rsidR="00D35535">
        <w:rPr>
          <w:noProof/>
        </w:rPr>
        <w:t xml:space="preserve">services </w:t>
      </w:r>
      <w:r>
        <w:rPr>
          <w:noProof/>
        </w:rPr>
        <w:t xml:space="preserve">identified </w:t>
      </w:r>
      <w:r w:rsidR="00FE5E4F">
        <w:rPr>
          <w:noProof/>
        </w:rPr>
        <w:t xml:space="preserve">the </w:t>
      </w:r>
      <w:r>
        <w:rPr>
          <w:noProof/>
        </w:rPr>
        <w:t>GUO for 4</w:t>
      </w:r>
      <w:r w:rsidR="001F4E8C">
        <w:rPr>
          <w:noProof/>
        </w:rPr>
        <w:t> </w:t>
      </w:r>
      <w:r>
        <w:rPr>
          <w:noProof/>
        </w:rPr>
        <w:t>339 out of 5</w:t>
      </w:r>
      <w:r w:rsidR="001F4E8C">
        <w:rPr>
          <w:noProof/>
        </w:rPr>
        <w:t> </w:t>
      </w:r>
      <w:r>
        <w:rPr>
          <w:noProof/>
        </w:rPr>
        <w:t>745 companies listed in FSR submissions and found that for</w:t>
      </w:r>
      <w:r w:rsidRPr="004A2CCD">
        <w:rPr>
          <w:noProof/>
        </w:rPr>
        <w:t xml:space="preserve"> </w:t>
      </w:r>
      <w:r>
        <w:rPr>
          <w:noProof/>
        </w:rPr>
        <w:t>3</w:t>
      </w:r>
      <w:r w:rsidR="001F4E8C">
        <w:rPr>
          <w:noProof/>
        </w:rPr>
        <w:t> </w:t>
      </w:r>
      <w:r>
        <w:rPr>
          <w:noProof/>
        </w:rPr>
        <w:t>310 (</w:t>
      </w:r>
      <w:r w:rsidRPr="00184ACB">
        <w:rPr>
          <w:noProof/>
        </w:rPr>
        <w:t>58%</w:t>
      </w:r>
      <w:r>
        <w:rPr>
          <w:noProof/>
        </w:rPr>
        <w:t>)</w:t>
      </w:r>
      <w:r w:rsidRPr="0014126C">
        <w:rPr>
          <w:noProof/>
        </w:rPr>
        <w:t xml:space="preserve"> </w:t>
      </w:r>
      <w:r>
        <w:rPr>
          <w:noProof/>
        </w:rPr>
        <w:t xml:space="preserve">companies listed in submissions, </w:t>
      </w:r>
      <w:r w:rsidR="00FE5E4F">
        <w:rPr>
          <w:noProof/>
        </w:rPr>
        <w:t xml:space="preserve">the </w:t>
      </w:r>
      <w:r>
        <w:rPr>
          <w:noProof/>
        </w:rPr>
        <w:t>GUO was established in the EU, 1</w:t>
      </w:r>
      <w:r w:rsidR="001F4E8C">
        <w:rPr>
          <w:noProof/>
        </w:rPr>
        <w:t> </w:t>
      </w:r>
      <w:r>
        <w:rPr>
          <w:noProof/>
        </w:rPr>
        <w:t xml:space="preserve">029 companies listed in submissions (18%) had their GUO based in a </w:t>
      </w:r>
      <w:r w:rsidR="008604C5">
        <w:rPr>
          <w:noProof/>
        </w:rPr>
        <w:t>third</w:t>
      </w:r>
      <w:r>
        <w:rPr>
          <w:noProof/>
        </w:rPr>
        <w:t xml:space="preserve"> country.</w:t>
      </w:r>
      <w:r w:rsidRPr="0014126C">
        <w:rPr>
          <w:noProof/>
        </w:rPr>
        <w:t xml:space="preserve"> For the remaining </w:t>
      </w:r>
      <w:r>
        <w:rPr>
          <w:noProof/>
        </w:rPr>
        <w:t>1</w:t>
      </w:r>
      <w:r w:rsidR="001F4E8C">
        <w:rPr>
          <w:noProof/>
        </w:rPr>
        <w:t> </w:t>
      </w:r>
      <w:r>
        <w:rPr>
          <w:noProof/>
        </w:rPr>
        <w:t>406</w:t>
      </w:r>
      <w:r w:rsidRPr="0014126C">
        <w:rPr>
          <w:noProof/>
        </w:rPr>
        <w:t xml:space="preserve"> </w:t>
      </w:r>
      <w:r>
        <w:rPr>
          <w:noProof/>
        </w:rPr>
        <w:t>(24%)</w:t>
      </w:r>
      <w:r w:rsidRPr="0014126C">
        <w:rPr>
          <w:noProof/>
        </w:rPr>
        <w:t xml:space="preserve"> </w:t>
      </w:r>
      <w:r>
        <w:rPr>
          <w:noProof/>
        </w:rPr>
        <w:t>companies listed in submissions</w:t>
      </w:r>
      <w:r w:rsidRPr="00993A7C">
        <w:rPr>
          <w:noProof/>
        </w:rPr>
        <w:t xml:space="preserve"> </w:t>
      </w:r>
      <w:r>
        <w:rPr>
          <w:noProof/>
        </w:rPr>
        <w:t>identifying the GUO was not possible, as the data was not retrievable in the Orbis database.</w:t>
      </w:r>
      <w:r w:rsidRPr="0014126C">
        <w:rPr>
          <w:noProof/>
        </w:rPr>
        <w:t xml:space="preserve"> </w:t>
      </w:r>
    </w:p>
    <w:p w14:paraId="7C7FC1AD" w14:textId="3BDD3856" w:rsidR="00C31F8E" w:rsidRDefault="00FE5E4F" w:rsidP="00C31F8E">
      <w:pPr>
        <w:pStyle w:val="Text2"/>
        <w:ind w:left="0"/>
        <w:rPr>
          <w:noProof/>
        </w:rPr>
      </w:pPr>
      <w:r>
        <w:rPr>
          <w:noProof/>
        </w:rPr>
        <w:t>For</w:t>
      </w:r>
      <w:r w:rsidRPr="008C3CAD">
        <w:rPr>
          <w:noProof/>
        </w:rPr>
        <w:t xml:space="preserve"> </w:t>
      </w:r>
      <w:r w:rsidR="00C31F8E" w:rsidRPr="008C3CAD">
        <w:rPr>
          <w:noProof/>
        </w:rPr>
        <w:t xml:space="preserve">GUOs from </w:t>
      </w:r>
      <w:r w:rsidR="008604C5">
        <w:rPr>
          <w:noProof/>
        </w:rPr>
        <w:t>third</w:t>
      </w:r>
      <w:r w:rsidR="00C31F8E" w:rsidRPr="008C3CAD">
        <w:rPr>
          <w:noProof/>
        </w:rPr>
        <w:t xml:space="preserve"> countries,</w:t>
      </w:r>
      <w:r w:rsidR="00C31F8E" w:rsidRPr="00184ACB">
        <w:rPr>
          <w:noProof/>
        </w:rPr>
        <w:t xml:space="preserve"> 235</w:t>
      </w:r>
      <w:r w:rsidR="00C31F8E">
        <w:rPr>
          <w:noProof/>
        </w:rPr>
        <w:t xml:space="preserve"> </w:t>
      </w:r>
      <w:r w:rsidR="00C31F8E" w:rsidRPr="0014126C">
        <w:rPr>
          <w:noProof/>
        </w:rPr>
        <w:t>companies</w:t>
      </w:r>
      <w:r w:rsidR="00C31F8E">
        <w:rPr>
          <w:noProof/>
        </w:rPr>
        <w:t xml:space="preserve"> listed in submissions had their GUO established in the United States (</w:t>
      </w:r>
      <w:r w:rsidR="00C31F8E" w:rsidRPr="00184ACB">
        <w:rPr>
          <w:noProof/>
        </w:rPr>
        <w:t>4.1 %</w:t>
      </w:r>
      <w:r w:rsidR="00C31F8E">
        <w:rPr>
          <w:noProof/>
        </w:rPr>
        <w:t xml:space="preserve"> of the total), </w:t>
      </w:r>
      <w:r w:rsidR="00C31F8E" w:rsidRPr="00184ACB">
        <w:rPr>
          <w:noProof/>
        </w:rPr>
        <w:t>146</w:t>
      </w:r>
      <w:r w:rsidR="00C31F8E">
        <w:rPr>
          <w:noProof/>
        </w:rPr>
        <w:t xml:space="preserve"> in the United Kingdom (</w:t>
      </w:r>
      <w:r w:rsidR="00C31F8E" w:rsidRPr="00184ACB">
        <w:rPr>
          <w:noProof/>
        </w:rPr>
        <w:t>2.5 %</w:t>
      </w:r>
      <w:r w:rsidR="00C31F8E">
        <w:rPr>
          <w:noProof/>
        </w:rPr>
        <w:t xml:space="preserve">), </w:t>
      </w:r>
      <w:r w:rsidR="00C31F8E" w:rsidRPr="00184ACB">
        <w:rPr>
          <w:noProof/>
        </w:rPr>
        <w:t>106</w:t>
      </w:r>
      <w:r w:rsidR="00C31F8E">
        <w:rPr>
          <w:noProof/>
        </w:rPr>
        <w:t xml:space="preserve"> in Switzerland (</w:t>
      </w:r>
      <w:r w:rsidR="00C31F8E" w:rsidRPr="00184ACB">
        <w:rPr>
          <w:noProof/>
        </w:rPr>
        <w:t>1.9 %</w:t>
      </w:r>
      <w:r w:rsidR="00C31F8E">
        <w:rPr>
          <w:noProof/>
        </w:rPr>
        <w:t xml:space="preserve">), </w:t>
      </w:r>
      <w:r w:rsidR="00C31F8E" w:rsidRPr="00184ACB">
        <w:rPr>
          <w:noProof/>
        </w:rPr>
        <w:t>86</w:t>
      </w:r>
      <w:r w:rsidR="00C31F8E">
        <w:rPr>
          <w:noProof/>
        </w:rPr>
        <w:t xml:space="preserve"> in Japan (</w:t>
      </w:r>
      <w:r w:rsidR="00C31F8E" w:rsidRPr="00184ACB">
        <w:rPr>
          <w:noProof/>
        </w:rPr>
        <w:t>1.5 %</w:t>
      </w:r>
      <w:r w:rsidR="00C31F8E">
        <w:rPr>
          <w:noProof/>
        </w:rPr>
        <w:t xml:space="preserve">), </w:t>
      </w:r>
      <w:r w:rsidR="00C31F8E" w:rsidRPr="00184ACB">
        <w:rPr>
          <w:noProof/>
        </w:rPr>
        <w:t>83</w:t>
      </w:r>
      <w:r w:rsidR="00C31F8E">
        <w:rPr>
          <w:noProof/>
        </w:rPr>
        <w:t xml:space="preserve"> in </w:t>
      </w:r>
      <w:r w:rsidRPr="00A57783">
        <w:rPr>
          <w:noProof/>
        </w:rPr>
        <w:t>T</w:t>
      </w:r>
      <w:r>
        <w:rPr>
          <w:noProof/>
        </w:rPr>
        <w:t>ürkiye</w:t>
      </w:r>
      <w:r w:rsidDel="00FE5E4F">
        <w:rPr>
          <w:noProof/>
        </w:rPr>
        <w:t xml:space="preserve"> </w:t>
      </w:r>
      <w:r w:rsidR="00C31F8E">
        <w:rPr>
          <w:noProof/>
        </w:rPr>
        <w:t>(</w:t>
      </w:r>
      <w:r w:rsidR="00C31F8E" w:rsidRPr="00184ACB">
        <w:rPr>
          <w:noProof/>
        </w:rPr>
        <w:t>1.4 %</w:t>
      </w:r>
      <w:r w:rsidR="00C31F8E">
        <w:rPr>
          <w:noProof/>
        </w:rPr>
        <w:t xml:space="preserve">) </w:t>
      </w:r>
      <w:r w:rsidR="00C31F8E" w:rsidRPr="00184ACB">
        <w:rPr>
          <w:noProof/>
        </w:rPr>
        <w:t>54</w:t>
      </w:r>
      <w:r w:rsidR="00C31F8E">
        <w:rPr>
          <w:noProof/>
        </w:rPr>
        <w:t xml:space="preserve"> in China (</w:t>
      </w:r>
      <w:r w:rsidR="00C31F8E" w:rsidRPr="00184ACB">
        <w:rPr>
          <w:noProof/>
        </w:rPr>
        <w:t>0.9 %</w:t>
      </w:r>
      <w:r w:rsidR="00C31F8E">
        <w:rPr>
          <w:noProof/>
        </w:rPr>
        <w:t xml:space="preserve">), 48 in India </w:t>
      </w:r>
      <w:r w:rsidR="00C31F8E" w:rsidRPr="00184ACB">
        <w:rPr>
          <w:noProof/>
        </w:rPr>
        <w:t>(0.8%)</w:t>
      </w:r>
      <w:r w:rsidR="00C31F8E">
        <w:rPr>
          <w:noProof/>
        </w:rPr>
        <w:t xml:space="preserve">, 45 in Norway (0.7%), 21 in Canada and in South Korea (0.3%). </w:t>
      </w:r>
    </w:p>
    <w:p w14:paraId="4C3608DA" w14:textId="77777777" w:rsidR="00C31F8E" w:rsidRDefault="00C31F8E" w:rsidP="00836900">
      <w:pPr>
        <w:pStyle w:val="Heading5"/>
        <w:rPr>
          <w:noProof/>
        </w:rPr>
      </w:pPr>
      <w:bookmarkStart w:id="129" w:name="_Toc228286499"/>
      <w:bookmarkStart w:id="130" w:name="_Hlk228805448"/>
      <w:bookmarkEnd w:id="128"/>
      <w:r>
        <w:rPr>
          <w:noProof/>
        </w:rPr>
        <w:t>Qualitative assessment of the Commission’s case practice</w:t>
      </w:r>
      <w:bookmarkEnd w:id="129"/>
    </w:p>
    <w:bookmarkEnd w:id="130"/>
    <w:p w14:paraId="4FFE688A" w14:textId="1FD893B1" w:rsidR="00C31F8E" w:rsidRPr="00A252A7" w:rsidRDefault="00C31F8E" w:rsidP="00C31F8E">
      <w:pPr>
        <w:rPr>
          <w:i/>
          <w:noProof/>
          <w:szCs w:val="24"/>
          <w:highlight w:val="green"/>
          <w:lang w:eastAsia="en-IE"/>
        </w:rPr>
      </w:pPr>
      <w:r w:rsidRPr="00432999">
        <w:rPr>
          <w:noProof/>
          <w:szCs w:val="24"/>
          <w:lang w:eastAsia="en-IE"/>
        </w:rPr>
        <w:t xml:space="preserve">This section describes </w:t>
      </w:r>
      <w:r w:rsidR="00AE6F01">
        <w:rPr>
          <w:noProof/>
          <w:szCs w:val="24"/>
          <w:lang w:eastAsia="en-IE"/>
        </w:rPr>
        <w:t>the practical experience of the</w:t>
      </w:r>
      <w:r w:rsidRPr="00432999">
        <w:rPr>
          <w:noProof/>
          <w:szCs w:val="24"/>
          <w:lang w:eastAsia="en-IE"/>
        </w:rPr>
        <w:t xml:space="preserve"> Commission </w:t>
      </w:r>
      <w:r w:rsidR="00D35535">
        <w:rPr>
          <w:noProof/>
          <w:szCs w:val="24"/>
          <w:lang w:eastAsia="en-IE"/>
        </w:rPr>
        <w:t xml:space="preserve">services </w:t>
      </w:r>
      <w:r w:rsidRPr="00432999">
        <w:rPr>
          <w:noProof/>
          <w:szCs w:val="24"/>
          <w:lang w:eastAsia="en-IE"/>
        </w:rPr>
        <w:t>i</w:t>
      </w:r>
      <w:r w:rsidR="00AE6F01">
        <w:rPr>
          <w:noProof/>
          <w:szCs w:val="24"/>
          <w:lang w:eastAsia="en-IE"/>
        </w:rPr>
        <w:t>n</w:t>
      </w:r>
      <w:r w:rsidRPr="00432999">
        <w:rPr>
          <w:noProof/>
          <w:szCs w:val="24"/>
          <w:lang w:eastAsia="en-IE"/>
        </w:rPr>
        <w:t xml:space="preserve"> handling FSR submissions in the context of public procurement</w:t>
      </w:r>
      <w:r w:rsidR="00AE6F01">
        <w:rPr>
          <w:noProof/>
          <w:szCs w:val="24"/>
          <w:lang w:eastAsia="en-IE"/>
        </w:rPr>
        <w:t xml:space="preserve"> procedures with the aim of assessing the effectiveness of predefined FSR concepts and practices</w:t>
      </w:r>
      <w:r w:rsidRPr="00432999">
        <w:rPr>
          <w:noProof/>
          <w:szCs w:val="24"/>
          <w:lang w:eastAsia="en-IE"/>
        </w:rPr>
        <w:t xml:space="preserve">. </w:t>
      </w:r>
    </w:p>
    <w:p w14:paraId="6DFD4BB3" w14:textId="1B96DB17" w:rsidR="00C31F8E" w:rsidRPr="000B35A8" w:rsidRDefault="00C31F8E" w:rsidP="006041B3">
      <w:pPr>
        <w:pStyle w:val="ListParagraph"/>
        <w:keepNext/>
        <w:numPr>
          <w:ilvl w:val="0"/>
          <w:numId w:val="218"/>
        </w:numPr>
        <w:ind w:left="714" w:hanging="357"/>
        <w:rPr>
          <w:noProof/>
          <w:lang w:eastAsia="en-IE"/>
        </w:rPr>
      </w:pPr>
      <w:bookmarkStart w:id="131" w:name="_Toc228286500"/>
      <w:bookmarkStart w:id="132" w:name="_Ref228431872"/>
      <w:r w:rsidRPr="00836900">
        <w:rPr>
          <w:i/>
          <w:noProof/>
          <w:lang w:eastAsia="en-IE"/>
        </w:rPr>
        <w:t>Compliance with the reporting obligation</w:t>
      </w:r>
      <w:bookmarkEnd w:id="131"/>
      <w:bookmarkEnd w:id="132"/>
      <w:r w:rsidR="0090257E">
        <w:rPr>
          <w:noProof/>
          <w:lang w:eastAsia="en-IE"/>
        </w:rPr>
        <w:t xml:space="preserve"> </w:t>
      </w:r>
    </w:p>
    <w:p w14:paraId="294DFC81" w14:textId="4F8D97B5" w:rsidR="00C31F8E" w:rsidRDefault="00454446" w:rsidP="00C31F8E">
      <w:pPr>
        <w:spacing w:after="240"/>
        <w:rPr>
          <w:noProof/>
          <w:szCs w:val="24"/>
          <w:lang w:eastAsia="en-IE"/>
        </w:rPr>
      </w:pPr>
      <w:r>
        <w:rPr>
          <w:noProof/>
          <w:szCs w:val="24"/>
          <w:lang w:eastAsia="en-IE"/>
        </w:rPr>
        <w:t xml:space="preserve">The </w:t>
      </w:r>
      <w:r w:rsidR="00C31F8E">
        <w:rPr>
          <w:noProof/>
          <w:szCs w:val="24"/>
          <w:lang w:eastAsia="en-IE"/>
        </w:rPr>
        <w:t xml:space="preserve">FSR sets out a framework to notify FFCs received by economic operators under specific conditions when participating in large public procurement procedures. These conditions clarify the temporal and personal scope of the </w:t>
      </w:r>
      <w:r w:rsidR="00C31F8E" w:rsidRPr="78D1E91B">
        <w:rPr>
          <w:noProof/>
          <w:szCs w:val="24"/>
          <w:lang w:eastAsia="en-IE"/>
        </w:rPr>
        <w:t>reporting obligation.</w:t>
      </w:r>
      <w:r w:rsidR="00C31F8E">
        <w:rPr>
          <w:noProof/>
          <w:szCs w:val="24"/>
          <w:lang w:eastAsia="en-IE"/>
        </w:rPr>
        <w:t xml:space="preserve"> The collection of data on FFCs is the responsibility of economic operators which relies on self-assessment, as economic operators are required to screen their own finances to identify FFCs listed by way of example in </w:t>
      </w:r>
      <w:r w:rsidR="001F4E8C">
        <w:rPr>
          <w:noProof/>
          <w:szCs w:val="24"/>
          <w:lang w:eastAsia="en-IE"/>
        </w:rPr>
        <w:t>Article </w:t>
      </w:r>
      <w:r w:rsidR="00C31F8E">
        <w:rPr>
          <w:noProof/>
          <w:szCs w:val="24"/>
          <w:lang w:eastAsia="en-IE"/>
        </w:rPr>
        <w:t xml:space="preserve">3(2) FSR and to consider whether these fall under any of the exceptions listed in Section B (6) of </w:t>
      </w:r>
      <w:r w:rsidR="00B10957">
        <w:rPr>
          <w:noProof/>
          <w:szCs w:val="24"/>
          <w:lang w:eastAsia="en-IE"/>
        </w:rPr>
        <w:t>Form FS-PP</w:t>
      </w:r>
      <w:r w:rsidR="00C31F8E">
        <w:rPr>
          <w:noProof/>
          <w:szCs w:val="24"/>
          <w:lang w:eastAsia="en-IE"/>
        </w:rPr>
        <w:t>.</w:t>
      </w:r>
    </w:p>
    <w:p w14:paraId="2FDC98B0" w14:textId="18952BA1" w:rsidR="00C31F8E" w:rsidRDefault="00C31F8E" w:rsidP="00C31F8E">
      <w:pPr>
        <w:spacing w:after="240"/>
        <w:rPr>
          <w:noProof/>
          <w:szCs w:val="24"/>
          <w:lang w:eastAsia="en-IE"/>
        </w:rPr>
      </w:pPr>
      <w:r>
        <w:rPr>
          <w:noProof/>
          <w:szCs w:val="24"/>
          <w:lang w:eastAsia="en-IE"/>
        </w:rPr>
        <w:t>On the basis of the above, the following</w:t>
      </w:r>
      <w:r w:rsidR="001F4E8C">
        <w:rPr>
          <w:noProof/>
          <w:szCs w:val="24"/>
          <w:lang w:eastAsia="en-IE"/>
        </w:rPr>
        <w:t xml:space="preserve"> findings can be made</w:t>
      </w:r>
      <w:r>
        <w:rPr>
          <w:noProof/>
          <w:szCs w:val="24"/>
          <w:lang w:eastAsia="en-IE"/>
        </w:rPr>
        <w:t>:</w:t>
      </w:r>
    </w:p>
    <w:p w14:paraId="3CDA57C7" w14:textId="32BAD14E" w:rsidR="00C31F8E" w:rsidRDefault="00C31F8E" w:rsidP="00C31F8E">
      <w:pPr>
        <w:spacing w:after="240"/>
        <w:rPr>
          <w:noProof/>
          <w:szCs w:val="24"/>
          <w:lang w:eastAsia="en-IE"/>
        </w:rPr>
      </w:pPr>
      <w:r>
        <w:rPr>
          <w:noProof/>
          <w:szCs w:val="24"/>
          <w:lang w:eastAsia="en-IE"/>
        </w:rPr>
        <w:t xml:space="preserve">First, </w:t>
      </w:r>
      <w:r w:rsidR="00FE5E4F">
        <w:rPr>
          <w:noProof/>
          <w:szCs w:val="24"/>
          <w:lang w:eastAsia="en-IE"/>
        </w:rPr>
        <w:t xml:space="preserve">on </w:t>
      </w:r>
      <w:r>
        <w:rPr>
          <w:noProof/>
          <w:szCs w:val="24"/>
          <w:lang w:eastAsia="en-IE"/>
        </w:rPr>
        <w:t xml:space="preserve">the temporal scope of the </w:t>
      </w:r>
      <w:r w:rsidRPr="78D1E91B">
        <w:rPr>
          <w:noProof/>
          <w:szCs w:val="24"/>
          <w:lang w:eastAsia="en-IE"/>
        </w:rPr>
        <w:t>reporting</w:t>
      </w:r>
      <w:r>
        <w:rPr>
          <w:noProof/>
          <w:szCs w:val="24"/>
          <w:lang w:eastAsia="en-IE"/>
        </w:rPr>
        <w:t xml:space="preserve"> obligation, </w:t>
      </w:r>
      <w:r w:rsidR="003B55DD">
        <w:rPr>
          <w:noProof/>
          <w:szCs w:val="24"/>
          <w:lang w:eastAsia="en-IE"/>
        </w:rPr>
        <w:t xml:space="preserve">stakeholder feedback </w:t>
      </w:r>
      <w:r w:rsidR="00697A24">
        <w:rPr>
          <w:noProof/>
          <w:szCs w:val="24"/>
          <w:lang w:eastAsia="en-IE"/>
        </w:rPr>
        <w:t xml:space="preserve">to the public consultation and the Practitioners’ Survey </w:t>
      </w:r>
      <w:r w:rsidR="003B55DD">
        <w:rPr>
          <w:noProof/>
          <w:szCs w:val="24"/>
          <w:lang w:eastAsia="en-IE"/>
        </w:rPr>
        <w:t xml:space="preserve">indicates that </w:t>
      </w:r>
      <w:r>
        <w:rPr>
          <w:noProof/>
          <w:szCs w:val="24"/>
          <w:lang w:eastAsia="en-IE"/>
        </w:rPr>
        <w:t>economic operators often find it difficult to report on FFCs that were granted in the</w:t>
      </w:r>
      <w:r w:rsidDel="007A1C38">
        <w:rPr>
          <w:noProof/>
          <w:szCs w:val="24"/>
          <w:lang w:eastAsia="en-IE"/>
        </w:rPr>
        <w:t xml:space="preserve"> </w:t>
      </w:r>
      <w:r>
        <w:rPr>
          <w:noProof/>
          <w:szCs w:val="24"/>
          <w:lang w:eastAsia="en-IE"/>
        </w:rPr>
        <w:t>current financial year as consolidated data is often unavailable.</w:t>
      </w:r>
    </w:p>
    <w:p w14:paraId="1F663DD8" w14:textId="395B10F7" w:rsidR="00C31F8E" w:rsidRDefault="00C31F8E" w:rsidP="00C31F8E">
      <w:pPr>
        <w:spacing w:after="0"/>
        <w:rPr>
          <w:noProof/>
          <w:szCs w:val="24"/>
          <w:lang w:eastAsia="en-IE"/>
        </w:rPr>
      </w:pPr>
      <w:r>
        <w:rPr>
          <w:noProof/>
          <w:szCs w:val="24"/>
          <w:lang w:eastAsia="en-IE"/>
        </w:rPr>
        <w:t xml:space="preserve">Second, </w:t>
      </w:r>
      <w:r w:rsidR="003B55DD">
        <w:rPr>
          <w:noProof/>
          <w:szCs w:val="24"/>
          <w:lang w:eastAsia="en-IE"/>
        </w:rPr>
        <w:t xml:space="preserve">stakeholder feedback </w:t>
      </w:r>
      <w:r w:rsidR="00697A24">
        <w:rPr>
          <w:noProof/>
          <w:szCs w:val="24"/>
          <w:lang w:eastAsia="en-IE"/>
        </w:rPr>
        <w:t xml:space="preserve">to the public consultation and the Practitioners’ Survey </w:t>
      </w:r>
      <w:r w:rsidR="003B55DD">
        <w:rPr>
          <w:noProof/>
          <w:szCs w:val="24"/>
          <w:lang w:eastAsia="en-IE"/>
        </w:rPr>
        <w:t xml:space="preserve">also notes </w:t>
      </w:r>
      <w:r w:rsidRPr="529FF860">
        <w:rPr>
          <w:noProof/>
          <w:szCs w:val="24"/>
        </w:rPr>
        <w:t>challenges stem</w:t>
      </w:r>
      <w:r w:rsidR="003B55DD">
        <w:rPr>
          <w:noProof/>
          <w:szCs w:val="24"/>
        </w:rPr>
        <w:t>ming</w:t>
      </w:r>
      <w:r w:rsidRPr="529FF860">
        <w:rPr>
          <w:noProof/>
          <w:szCs w:val="24"/>
        </w:rPr>
        <w:t xml:space="preserve"> from the scope of the </w:t>
      </w:r>
      <w:r>
        <w:rPr>
          <w:noProof/>
          <w:szCs w:val="24"/>
        </w:rPr>
        <w:t>reporting obligation</w:t>
      </w:r>
      <w:r w:rsidRPr="529FF860">
        <w:rPr>
          <w:noProof/>
          <w:szCs w:val="24"/>
        </w:rPr>
        <w:t xml:space="preserve">, which covers the </w:t>
      </w:r>
      <w:r>
        <w:rPr>
          <w:noProof/>
          <w:szCs w:val="24"/>
        </w:rPr>
        <w:t>economic operator itself</w:t>
      </w:r>
      <w:r w:rsidRPr="529FF860">
        <w:rPr>
          <w:noProof/>
          <w:szCs w:val="24"/>
        </w:rPr>
        <w:t>, its holding companies, and subsidia</w:t>
      </w:r>
      <w:r>
        <w:rPr>
          <w:noProof/>
          <w:szCs w:val="24"/>
        </w:rPr>
        <w:t>ry companies</w:t>
      </w:r>
      <w:r w:rsidRPr="529FF860">
        <w:rPr>
          <w:noProof/>
          <w:szCs w:val="24"/>
        </w:rPr>
        <w:t xml:space="preserve"> without commercial autonomy, but excludes </w:t>
      </w:r>
      <w:r>
        <w:rPr>
          <w:noProof/>
          <w:szCs w:val="24"/>
        </w:rPr>
        <w:t>‘</w:t>
      </w:r>
      <w:r w:rsidRPr="529FF860">
        <w:rPr>
          <w:noProof/>
          <w:szCs w:val="24"/>
        </w:rPr>
        <w:t>sister companies</w:t>
      </w:r>
      <w:r>
        <w:rPr>
          <w:noProof/>
          <w:szCs w:val="24"/>
        </w:rPr>
        <w:t>’</w:t>
      </w:r>
      <w:r w:rsidRPr="529FF860">
        <w:rPr>
          <w:noProof/>
          <w:szCs w:val="24"/>
        </w:rPr>
        <w:t>. In practice,</w:t>
      </w:r>
      <w:r w:rsidRPr="529FF860" w:rsidDel="003B03FB">
        <w:rPr>
          <w:noProof/>
          <w:szCs w:val="24"/>
        </w:rPr>
        <w:t xml:space="preserve"> </w:t>
      </w:r>
      <w:r>
        <w:rPr>
          <w:noProof/>
          <w:szCs w:val="24"/>
        </w:rPr>
        <w:t xml:space="preserve">companies usually publish consolidated financial statements at the level of the parent company, covering the entire corporate group, including entities that fall outside the </w:t>
      </w:r>
      <w:r w:rsidR="00CA3ED5">
        <w:rPr>
          <w:noProof/>
          <w:szCs w:val="24"/>
        </w:rPr>
        <w:t xml:space="preserve">specific </w:t>
      </w:r>
      <w:r>
        <w:rPr>
          <w:noProof/>
          <w:szCs w:val="24"/>
        </w:rPr>
        <w:t>scope of the reporting obligation. As a result, economic operators may not have immediate access to FFC data at the level of individual entities. Extracting entity-specif</w:t>
      </w:r>
      <w:r w:rsidR="00872DD0">
        <w:rPr>
          <w:noProof/>
          <w:szCs w:val="24"/>
        </w:rPr>
        <w:t>ic</w:t>
      </w:r>
      <w:r>
        <w:rPr>
          <w:noProof/>
          <w:szCs w:val="24"/>
        </w:rPr>
        <w:t xml:space="preserve"> financial information can therefore be challenging, particularly under time constraints at the time of the notification.</w:t>
      </w:r>
      <w:r w:rsidRPr="529FF860">
        <w:rPr>
          <w:noProof/>
          <w:szCs w:val="24"/>
        </w:rPr>
        <w:t xml:space="preserve"> </w:t>
      </w:r>
      <w:r>
        <w:rPr>
          <w:noProof/>
          <w:szCs w:val="24"/>
          <w:lang w:eastAsia="en-IE"/>
        </w:rPr>
        <w:t>In addition</w:t>
      </w:r>
      <w:r w:rsidRPr="00C72DEB">
        <w:rPr>
          <w:noProof/>
          <w:szCs w:val="24"/>
          <w:lang w:eastAsia="en-IE"/>
        </w:rPr>
        <w:t xml:space="preserve">, the </w:t>
      </w:r>
      <w:r>
        <w:rPr>
          <w:noProof/>
          <w:szCs w:val="24"/>
          <w:lang w:eastAsia="en-IE"/>
        </w:rPr>
        <w:t>exclusion of sister companies may create data gaps and reduce the overall</w:t>
      </w:r>
      <w:r w:rsidRPr="00C72DEB">
        <w:rPr>
          <w:noProof/>
          <w:szCs w:val="24"/>
          <w:lang w:eastAsia="en-IE"/>
        </w:rPr>
        <w:t xml:space="preserve"> representativeness of the </w:t>
      </w:r>
      <w:r>
        <w:rPr>
          <w:noProof/>
          <w:szCs w:val="24"/>
          <w:lang w:eastAsia="en-IE"/>
        </w:rPr>
        <w:t>collected information. It may also require economic operators to provide additional justification for ringfenced FFCs</w:t>
      </w:r>
      <w:r w:rsidR="00230AD6" w:rsidRPr="00230AD6">
        <w:rPr>
          <w:noProof/>
          <w:szCs w:val="24"/>
          <w:lang w:eastAsia="en-IE"/>
        </w:rPr>
        <w:t> (</w:t>
      </w:r>
      <w:r>
        <w:rPr>
          <w:rStyle w:val="FootnoteReference"/>
          <w:noProof/>
          <w:szCs w:val="24"/>
          <w:lang w:eastAsia="en-IE"/>
        </w:rPr>
        <w:footnoteReference w:id="77"/>
      </w:r>
      <w:r w:rsidR="00230AD6">
        <w:rPr>
          <w:noProof/>
          <w:szCs w:val="24"/>
          <w:lang w:eastAsia="en-IE"/>
        </w:rPr>
        <w:t>)</w:t>
      </w:r>
      <w:r w:rsidR="000F50D6">
        <w:rPr>
          <w:noProof/>
          <w:szCs w:val="24"/>
          <w:lang w:eastAsia="en-IE"/>
        </w:rPr>
        <w:t>.</w:t>
      </w:r>
    </w:p>
    <w:p w14:paraId="305F4510" w14:textId="77777777" w:rsidR="00C31F8E" w:rsidRDefault="00C31F8E" w:rsidP="00836900">
      <w:pPr>
        <w:spacing w:after="0"/>
        <w:rPr>
          <w:noProof/>
          <w:szCs w:val="24"/>
          <w:lang w:eastAsia="en-IE"/>
        </w:rPr>
      </w:pPr>
    </w:p>
    <w:p w14:paraId="51E93620" w14:textId="670BBA76" w:rsidR="00C31F8E" w:rsidRPr="00C72DEB" w:rsidRDefault="00C31F8E" w:rsidP="00836900">
      <w:pPr>
        <w:spacing w:after="0"/>
        <w:rPr>
          <w:noProof/>
          <w:szCs w:val="24"/>
          <w:lang w:eastAsia="en-IE"/>
        </w:rPr>
      </w:pPr>
      <w:r>
        <w:rPr>
          <w:noProof/>
          <w:szCs w:val="24"/>
          <w:lang w:eastAsia="en-IE"/>
        </w:rPr>
        <w:t xml:space="preserve">Third, </w:t>
      </w:r>
      <w:r w:rsidR="003B55DD">
        <w:rPr>
          <w:noProof/>
          <w:szCs w:val="24"/>
          <w:lang w:eastAsia="en-IE"/>
        </w:rPr>
        <w:t>according to the FSR Review Study</w:t>
      </w:r>
      <w:r>
        <w:rPr>
          <w:noProof/>
          <w:szCs w:val="24"/>
          <w:lang w:eastAsia="en-IE"/>
        </w:rPr>
        <w:t xml:space="preserve">, self-assessment </w:t>
      </w:r>
      <w:r w:rsidR="00872DD0">
        <w:rPr>
          <w:noProof/>
          <w:szCs w:val="24"/>
          <w:lang w:eastAsia="en-IE"/>
        </w:rPr>
        <w:t xml:space="preserve">by </w:t>
      </w:r>
      <w:r>
        <w:rPr>
          <w:noProof/>
          <w:szCs w:val="24"/>
          <w:lang w:eastAsia="en-IE"/>
        </w:rPr>
        <w:t xml:space="preserve">economic operators </w:t>
      </w:r>
      <w:r w:rsidRPr="00C72DEB">
        <w:rPr>
          <w:noProof/>
          <w:szCs w:val="24"/>
          <w:lang w:eastAsia="en-IE"/>
        </w:rPr>
        <w:t xml:space="preserve">exposed significant deficiencies in the completeness and quality of notifications. </w:t>
      </w:r>
      <w:r>
        <w:rPr>
          <w:noProof/>
          <w:szCs w:val="24"/>
          <w:lang w:eastAsia="en-IE"/>
        </w:rPr>
        <w:t>Based on the Commission</w:t>
      </w:r>
      <w:r w:rsidR="00D35535">
        <w:rPr>
          <w:noProof/>
          <w:szCs w:val="24"/>
          <w:lang w:eastAsia="en-IE"/>
        </w:rPr>
        <w:t xml:space="preserve"> services’</w:t>
      </w:r>
      <w:r>
        <w:rPr>
          <w:noProof/>
          <w:szCs w:val="24"/>
          <w:lang w:eastAsia="en-IE"/>
        </w:rPr>
        <w:t xml:space="preserve"> experience, s</w:t>
      </w:r>
      <w:r w:rsidRPr="00C72DEB">
        <w:rPr>
          <w:noProof/>
          <w:szCs w:val="24"/>
          <w:lang w:eastAsia="en-IE"/>
        </w:rPr>
        <w:t xml:space="preserve">ubmissions </w:t>
      </w:r>
      <w:r>
        <w:rPr>
          <w:noProof/>
          <w:szCs w:val="24"/>
          <w:lang w:eastAsia="en-IE"/>
        </w:rPr>
        <w:t>appeared</w:t>
      </w:r>
      <w:r w:rsidRPr="00C72DEB">
        <w:rPr>
          <w:noProof/>
          <w:szCs w:val="24"/>
          <w:lang w:eastAsia="en-IE"/>
        </w:rPr>
        <w:t xml:space="preserve"> frequently incomplete, provided in non-</w:t>
      </w:r>
      <w:r w:rsidRPr="7D385744">
        <w:rPr>
          <w:noProof/>
          <w:szCs w:val="24"/>
          <w:lang w:eastAsia="en-IE"/>
        </w:rPr>
        <w:t>s</w:t>
      </w:r>
      <w:r w:rsidRPr="2DF06D2F">
        <w:rPr>
          <w:noProof/>
          <w:szCs w:val="24"/>
          <w:lang w:eastAsia="en-IE"/>
        </w:rPr>
        <w:t>tandardi</w:t>
      </w:r>
      <w:r>
        <w:rPr>
          <w:noProof/>
          <w:szCs w:val="24"/>
          <w:lang w:eastAsia="en-IE"/>
        </w:rPr>
        <w:t>s</w:t>
      </w:r>
      <w:r w:rsidRPr="7D385744">
        <w:rPr>
          <w:noProof/>
          <w:szCs w:val="24"/>
          <w:lang w:eastAsia="en-IE"/>
        </w:rPr>
        <w:t>ed</w:t>
      </w:r>
      <w:r w:rsidRPr="00C72DEB">
        <w:rPr>
          <w:noProof/>
          <w:szCs w:val="24"/>
          <w:lang w:eastAsia="en-IE"/>
        </w:rPr>
        <w:t xml:space="preserve"> formats, or omit</w:t>
      </w:r>
      <w:r>
        <w:rPr>
          <w:noProof/>
          <w:szCs w:val="24"/>
          <w:lang w:eastAsia="en-IE"/>
        </w:rPr>
        <w:t>ted</w:t>
      </w:r>
      <w:r w:rsidRPr="00C72DEB">
        <w:rPr>
          <w:noProof/>
          <w:szCs w:val="24"/>
          <w:lang w:eastAsia="en-IE"/>
        </w:rPr>
        <w:t xml:space="preserve"> essential information, including ownership structures, financial statement, or </w:t>
      </w:r>
      <w:r>
        <w:rPr>
          <w:noProof/>
          <w:szCs w:val="24"/>
          <w:lang w:eastAsia="en-IE"/>
        </w:rPr>
        <w:t>appropriate description</w:t>
      </w:r>
      <w:r w:rsidRPr="00C72DEB">
        <w:rPr>
          <w:noProof/>
          <w:szCs w:val="24"/>
          <w:lang w:eastAsia="en-IE"/>
        </w:rPr>
        <w:t xml:space="preserve"> of FFCs granted to holding companies or subsidiary companies without commercial autonomy. </w:t>
      </w:r>
    </w:p>
    <w:p w14:paraId="7ACE561E" w14:textId="4E84365F" w:rsidR="00C31F8E" w:rsidRDefault="00C31F8E" w:rsidP="00836900">
      <w:pPr>
        <w:spacing w:before="240" w:after="0"/>
        <w:rPr>
          <w:noProof/>
          <w:szCs w:val="24"/>
        </w:rPr>
      </w:pPr>
      <w:r>
        <w:rPr>
          <w:noProof/>
          <w:szCs w:val="24"/>
        </w:rPr>
        <w:t xml:space="preserve">Fourth, in terms of reporting obligation, </w:t>
      </w:r>
      <w:r w:rsidR="00AB1204">
        <w:rPr>
          <w:noProof/>
          <w:szCs w:val="24"/>
          <w:lang w:eastAsia="en-IE"/>
        </w:rPr>
        <w:t xml:space="preserve">stakeholder feedback </w:t>
      </w:r>
      <w:r w:rsidR="00697A24">
        <w:rPr>
          <w:noProof/>
          <w:szCs w:val="24"/>
          <w:lang w:eastAsia="en-IE"/>
        </w:rPr>
        <w:t xml:space="preserve">to the public consultation and the Practitioners’ Survey </w:t>
      </w:r>
      <w:r w:rsidR="00AB1204">
        <w:rPr>
          <w:noProof/>
          <w:szCs w:val="24"/>
          <w:lang w:eastAsia="en-IE"/>
        </w:rPr>
        <w:t xml:space="preserve">also </w:t>
      </w:r>
      <w:r w:rsidR="00872DD0">
        <w:rPr>
          <w:noProof/>
          <w:szCs w:val="24"/>
          <w:lang w:eastAsia="en-IE"/>
        </w:rPr>
        <w:t xml:space="preserve">indicated </w:t>
      </w:r>
      <w:r w:rsidR="00AB1204">
        <w:rPr>
          <w:noProof/>
          <w:szCs w:val="24"/>
          <w:lang w:eastAsia="en-IE"/>
        </w:rPr>
        <w:t xml:space="preserve">that </w:t>
      </w:r>
      <w:r>
        <w:rPr>
          <w:noProof/>
          <w:szCs w:val="24"/>
        </w:rPr>
        <w:t xml:space="preserve">economic operators – </w:t>
      </w:r>
      <w:r w:rsidRPr="6EAAE184">
        <w:rPr>
          <w:noProof/>
          <w:szCs w:val="24"/>
        </w:rPr>
        <w:t>including SME</w:t>
      </w:r>
      <w:r>
        <w:rPr>
          <w:noProof/>
          <w:szCs w:val="24"/>
        </w:rPr>
        <w:t>s and economic operators that are active only locally – a</w:t>
      </w:r>
      <w:r w:rsidRPr="6EAAE184">
        <w:rPr>
          <w:noProof/>
          <w:szCs w:val="24"/>
        </w:rPr>
        <w:t xml:space="preserve">re often required </w:t>
      </w:r>
      <w:r w:rsidR="009B5C1D">
        <w:rPr>
          <w:noProof/>
          <w:szCs w:val="24"/>
        </w:rPr>
        <w:t xml:space="preserve">by </w:t>
      </w:r>
      <w:r w:rsidR="00B10957">
        <w:rPr>
          <w:noProof/>
          <w:szCs w:val="24"/>
        </w:rPr>
        <w:t>Form FS-PP</w:t>
      </w:r>
      <w:r w:rsidRPr="6EAAE184">
        <w:rPr>
          <w:noProof/>
          <w:szCs w:val="24"/>
        </w:rPr>
        <w:t xml:space="preserve"> to provide </w:t>
      </w:r>
      <w:r>
        <w:rPr>
          <w:noProof/>
          <w:szCs w:val="24"/>
        </w:rPr>
        <w:t>detailed information</w:t>
      </w:r>
      <w:r w:rsidRPr="6EAAE184">
        <w:rPr>
          <w:noProof/>
          <w:szCs w:val="24"/>
        </w:rPr>
        <w:t>, even where such information has limited relevance to the substantive assessment, creating a compliance burden</w:t>
      </w:r>
      <w:r>
        <w:rPr>
          <w:noProof/>
          <w:szCs w:val="24"/>
        </w:rPr>
        <w:t xml:space="preserve"> for these economic operators that, in turn, generates administrative work for the Commission</w:t>
      </w:r>
      <w:r w:rsidR="00D35535">
        <w:rPr>
          <w:noProof/>
          <w:szCs w:val="24"/>
        </w:rPr>
        <w:t xml:space="preserve"> services</w:t>
      </w:r>
      <w:r>
        <w:rPr>
          <w:noProof/>
          <w:szCs w:val="24"/>
        </w:rPr>
        <w:t>.</w:t>
      </w:r>
    </w:p>
    <w:p w14:paraId="58CABDB3" w14:textId="4E477669" w:rsidR="00C31F8E" w:rsidRDefault="00C31F8E" w:rsidP="00C31F8E">
      <w:pPr>
        <w:spacing w:before="240" w:after="0"/>
        <w:rPr>
          <w:noProof/>
          <w:szCs w:val="24"/>
        </w:rPr>
      </w:pPr>
      <w:r>
        <w:rPr>
          <w:noProof/>
          <w:szCs w:val="24"/>
        </w:rPr>
        <w:t>Finally, w</w:t>
      </w:r>
      <w:r w:rsidRPr="49276AD0">
        <w:rPr>
          <w:noProof/>
          <w:szCs w:val="24"/>
        </w:rPr>
        <w:t xml:space="preserve">hile the </w:t>
      </w:r>
      <w:r>
        <w:rPr>
          <w:noProof/>
          <w:szCs w:val="24"/>
        </w:rPr>
        <w:t>FS</w:t>
      </w:r>
      <w:r w:rsidR="009B5C1D">
        <w:rPr>
          <w:noProof/>
          <w:szCs w:val="24"/>
        </w:rPr>
        <w:t>I</w:t>
      </w:r>
      <w:r>
        <w:rPr>
          <w:noProof/>
          <w:szCs w:val="24"/>
        </w:rPr>
        <w:t>R</w:t>
      </w:r>
      <w:r w:rsidRPr="49276AD0">
        <w:rPr>
          <w:noProof/>
          <w:szCs w:val="24"/>
        </w:rPr>
        <w:t xml:space="preserve"> allows for the possibility of requesting a waiver </w:t>
      </w:r>
      <w:r w:rsidRPr="3780B548">
        <w:rPr>
          <w:noProof/>
          <w:szCs w:val="24"/>
        </w:rPr>
        <w:t xml:space="preserve">to </w:t>
      </w:r>
      <w:r w:rsidRPr="53B1C106">
        <w:rPr>
          <w:noProof/>
          <w:szCs w:val="24"/>
        </w:rPr>
        <w:t xml:space="preserve">submit </w:t>
      </w:r>
      <w:r w:rsidRPr="329826CC">
        <w:rPr>
          <w:noProof/>
          <w:szCs w:val="24"/>
        </w:rPr>
        <w:t xml:space="preserve">certain information </w:t>
      </w:r>
      <w:r w:rsidRPr="0030DFE3">
        <w:rPr>
          <w:noProof/>
          <w:szCs w:val="24"/>
        </w:rPr>
        <w:t xml:space="preserve">required by </w:t>
      </w:r>
      <w:r w:rsidR="00B10957">
        <w:rPr>
          <w:noProof/>
          <w:szCs w:val="24"/>
        </w:rPr>
        <w:t>Form FS-PP</w:t>
      </w:r>
      <w:r w:rsidR="00230AD6" w:rsidRPr="00230AD6">
        <w:rPr>
          <w:noProof/>
          <w:szCs w:val="24"/>
        </w:rPr>
        <w:t> (</w:t>
      </w:r>
      <w:r>
        <w:rPr>
          <w:rStyle w:val="FootnoteReference"/>
          <w:noProof/>
          <w:szCs w:val="24"/>
        </w:rPr>
        <w:footnoteReference w:id="78"/>
      </w:r>
      <w:r w:rsidR="00230AD6">
        <w:rPr>
          <w:noProof/>
          <w:szCs w:val="24"/>
        </w:rPr>
        <w:t>)</w:t>
      </w:r>
      <w:r w:rsidRPr="49276AD0">
        <w:rPr>
          <w:noProof/>
          <w:szCs w:val="24"/>
        </w:rPr>
        <w:t>, this option is available only during the pre-notification phase</w:t>
      </w:r>
      <w:r>
        <w:rPr>
          <w:noProof/>
          <w:szCs w:val="24"/>
        </w:rPr>
        <w:t>.</w:t>
      </w:r>
      <w:r w:rsidR="003B55DD">
        <w:rPr>
          <w:noProof/>
          <w:szCs w:val="24"/>
        </w:rPr>
        <w:t xml:space="preserve"> The FSR Review Study indicate</w:t>
      </w:r>
      <w:r w:rsidR="00D36DE8">
        <w:rPr>
          <w:noProof/>
          <w:szCs w:val="24"/>
        </w:rPr>
        <w:t>s</w:t>
      </w:r>
      <w:r w:rsidR="003B55DD">
        <w:rPr>
          <w:noProof/>
          <w:szCs w:val="24"/>
        </w:rPr>
        <w:t xml:space="preserve"> that, d</w:t>
      </w:r>
      <w:r>
        <w:rPr>
          <w:noProof/>
          <w:szCs w:val="24"/>
        </w:rPr>
        <w:t xml:space="preserve">ue to time constraints, economic operators often do not have the possibility to engage in pre-notification contacts, therefore limiting their </w:t>
      </w:r>
      <w:r w:rsidRPr="49276AD0">
        <w:rPr>
          <w:noProof/>
          <w:szCs w:val="24"/>
        </w:rPr>
        <w:t>practical effectiveness in reducing unnecessary reporting.</w:t>
      </w:r>
    </w:p>
    <w:p w14:paraId="74DC5F28" w14:textId="77777777" w:rsidR="00C31F8E" w:rsidRPr="0071244D" w:rsidRDefault="00C31F8E" w:rsidP="00836900">
      <w:pPr>
        <w:spacing w:after="0"/>
        <w:rPr>
          <w:noProof/>
          <w:szCs w:val="24"/>
        </w:rPr>
      </w:pPr>
    </w:p>
    <w:p w14:paraId="453B6749" w14:textId="77777777" w:rsidR="00C31F8E" w:rsidRPr="000B35A8" w:rsidRDefault="00C31F8E" w:rsidP="006041B3">
      <w:pPr>
        <w:pStyle w:val="ListParagraph"/>
        <w:keepNext/>
        <w:numPr>
          <w:ilvl w:val="0"/>
          <w:numId w:val="218"/>
        </w:numPr>
        <w:ind w:left="714" w:hanging="357"/>
        <w:rPr>
          <w:noProof/>
          <w:lang w:eastAsia="en-IE"/>
        </w:rPr>
      </w:pPr>
      <w:bookmarkStart w:id="133" w:name="_Ref227757722"/>
      <w:bookmarkStart w:id="134" w:name="_Toc228286501"/>
      <w:r w:rsidRPr="00836900">
        <w:rPr>
          <w:i/>
          <w:noProof/>
          <w:lang w:eastAsia="en-IE"/>
        </w:rPr>
        <w:t>Origin, type and amounts of FFCs</w:t>
      </w:r>
      <w:bookmarkEnd w:id="133"/>
      <w:bookmarkEnd w:id="134"/>
    </w:p>
    <w:p w14:paraId="12F628C6" w14:textId="7FE4FF69" w:rsidR="00C31F8E" w:rsidRDefault="00C31F8E" w:rsidP="00C31F8E">
      <w:pPr>
        <w:pStyle w:val="Text2"/>
        <w:ind w:left="0"/>
        <w:rPr>
          <w:noProof/>
        </w:rPr>
      </w:pPr>
      <w:r>
        <w:rPr>
          <w:noProof/>
        </w:rPr>
        <w:t xml:space="preserve">Commission </w:t>
      </w:r>
      <w:r w:rsidR="00D35535">
        <w:rPr>
          <w:noProof/>
        </w:rPr>
        <w:t>services’</w:t>
      </w:r>
      <w:r>
        <w:rPr>
          <w:noProof/>
        </w:rPr>
        <w:t xml:space="preserve"> experience and the FSR Review Study findings revealed limited insights into FFCs based on </w:t>
      </w:r>
      <w:r w:rsidR="00B10957">
        <w:rPr>
          <w:noProof/>
        </w:rPr>
        <w:t>FS-PP</w:t>
      </w:r>
      <w:r w:rsidR="00872DD0">
        <w:rPr>
          <w:noProof/>
        </w:rPr>
        <w:t xml:space="preserve"> forms</w:t>
      </w:r>
      <w:r>
        <w:rPr>
          <w:noProof/>
        </w:rPr>
        <w:t xml:space="preserve">. The main reasons for this are limited awareness and limited level of compliance of economic operators with the reporting obligation. As described in </w:t>
      </w:r>
      <w:r w:rsidR="00B0754D">
        <w:rPr>
          <w:noProof/>
        </w:rPr>
        <w:t>Section </w:t>
      </w:r>
      <w:r>
        <w:rPr>
          <w:noProof/>
        </w:rPr>
        <w:fldChar w:fldCharType="begin"/>
      </w:r>
      <w:r>
        <w:rPr>
          <w:noProof/>
        </w:rPr>
        <w:instrText xml:space="preserve"> REF _Ref228431872 \r \h </w:instrText>
      </w:r>
      <w:r>
        <w:rPr>
          <w:noProof/>
        </w:rPr>
      </w:r>
      <w:r>
        <w:rPr>
          <w:noProof/>
        </w:rPr>
        <w:fldChar w:fldCharType="separate"/>
      </w:r>
      <w:r w:rsidR="00227418">
        <w:rPr>
          <w:noProof/>
        </w:rPr>
        <w:t>a)</w:t>
      </w:r>
      <w:r>
        <w:rPr>
          <w:noProof/>
        </w:rPr>
        <w:fldChar w:fldCharType="end"/>
      </w:r>
      <w:r>
        <w:rPr>
          <w:noProof/>
        </w:rPr>
        <w:t xml:space="preserve">, </w:t>
      </w:r>
      <w:r w:rsidR="007644BF">
        <w:rPr>
          <w:noProof/>
        </w:rPr>
        <w:t xml:space="preserve">submitted </w:t>
      </w:r>
      <w:r w:rsidR="00B10957">
        <w:rPr>
          <w:noProof/>
        </w:rPr>
        <w:t>FS-PP</w:t>
      </w:r>
      <w:r w:rsidR="00872DD0">
        <w:rPr>
          <w:noProof/>
        </w:rPr>
        <w:t xml:space="preserve"> forms</w:t>
      </w:r>
      <w:r>
        <w:rPr>
          <w:noProof/>
        </w:rPr>
        <w:t xml:space="preserve"> often lack minimum information required and do not capture all notifiable FFCs, declarations often do not contain any FFCs, and economic operators often submit declarations when a notification should have been submitted</w:t>
      </w:r>
      <w:r w:rsidR="00230AD6" w:rsidRPr="00230AD6">
        <w:rPr>
          <w:noProof/>
        </w:rPr>
        <w:t> (</w:t>
      </w:r>
      <w:r>
        <w:rPr>
          <w:rStyle w:val="FootnoteReference"/>
          <w:noProof/>
        </w:rPr>
        <w:footnoteReference w:id="79"/>
      </w:r>
      <w:r w:rsidR="00230AD6">
        <w:rPr>
          <w:noProof/>
        </w:rPr>
        <w:t>)</w:t>
      </w:r>
      <w:r>
        <w:rPr>
          <w:noProof/>
        </w:rPr>
        <w:t xml:space="preserve">. Furthermore, Table 1 of </w:t>
      </w:r>
      <w:r w:rsidR="00B10957">
        <w:rPr>
          <w:noProof/>
        </w:rPr>
        <w:t>Form FS-PP</w:t>
      </w:r>
      <w:r>
        <w:rPr>
          <w:noProof/>
        </w:rPr>
        <w:t xml:space="preserve"> – which is the most used form to declare notifiable FFCs – requires submission of information on FFCs </w:t>
      </w:r>
      <w:r w:rsidR="0027777D">
        <w:rPr>
          <w:noProof/>
        </w:rPr>
        <w:t xml:space="preserve">by </w:t>
      </w:r>
      <w:r>
        <w:rPr>
          <w:noProof/>
        </w:rPr>
        <w:t xml:space="preserve">third country within </w:t>
      </w:r>
      <w:r w:rsidR="0027777D">
        <w:rPr>
          <w:noProof/>
        </w:rPr>
        <w:t xml:space="preserve">set </w:t>
      </w:r>
      <w:r>
        <w:rPr>
          <w:noProof/>
        </w:rPr>
        <w:t>ranges</w:t>
      </w:r>
      <w:r w:rsidR="00230AD6" w:rsidRPr="00230AD6">
        <w:rPr>
          <w:noProof/>
        </w:rPr>
        <w:t> (</w:t>
      </w:r>
      <w:r>
        <w:rPr>
          <w:rStyle w:val="FootnoteReference"/>
          <w:noProof/>
        </w:rPr>
        <w:footnoteReference w:id="80"/>
      </w:r>
      <w:r w:rsidR="00230AD6">
        <w:rPr>
          <w:noProof/>
        </w:rPr>
        <w:t>)</w:t>
      </w:r>
      <w:r>
        <w:rPr>
          <w:noProof/>
        </w:rPr>
        <w:t>. According to the Commission</w:t>
      </w:r>
      <w:r w:rsidR="001F4E8C">
        <w:rPr>
          <w:noProof/>
        </w:rPr>
        <w:t xml:space="preserve"> services</w:t>
      </w:r>
      <w:r>
        <w:rPr>
          <w:noProof/>
        </w:rPr>
        <w:t>’ analysis, this allow</w:t>
      </w:r>
      <w:r w:rsidR="0027777D">
        <w:rPr>
          <w:noProof/>
        </w:rPr>
        <w:t>s</w:t>
      </w:r>
      <w:r>
        <w:rPr>
          <w:noProof/>
        </w:rPr>
        <w:t xml:space="preserve"> neither the quantification of individual FFCs, nor </w:t>
      </w:r>
      <w:r w:rsidR="0027777D">
        <w:rPr>
          <w:noProof/>
        </w:rPr>
        <w:t xml:space="preserve">the possibility of </w:t>
      </w:r>
      <w:r>
        <w:rPr>
          <w:noProof/>
        </w:rPr>
        <w:t>mak</w:t>
      </w:r>
      <w:r w:rsidR="0027777D">
        <w:rPr>
          <w:noProof/>
        </w:rPr>
        <w:t>ing</w:t>
      </w:r>
      <w:r>
        <w:rPr>
          <w:noProof/>
        </w:rPr>
        <w:t xml:space="preserve"> average calculations in a conclusive manner </w:t>
      </w:r>
      <w:r w:rsidR="0027777D">
        <w:rPr>
          <w:noProof/>
        </w:rPr>
        <w:t xml:space="preserve">by FFC type, </w:t>
      </w:r>
      <w:r>
        <w:rPr>
          <w:noProof/>
        </w:rPr>
        <w:t>because the indicated ranges are</w:t>
      </w:r>
      <w:r w:rsidR="0027777D">
        <w:rPr>
          <w:noProof/>
        </w:rPr>
        <w:t xml:space="preserve"> too</w:t>
      </w:r>
      <w:r>
        <w:rPr>
          <w:noProof/>
        </w:rPr>
        <w:t xml:space="preserve"> broad</w:t>
      </w:r>
      <w:r w:rsidR="0027777D">
        <w:rPr>
          <w:noProof/>
        </w:rPr>
        <w:t xml:space="preserve"> in both cases</w:t>
      </w:r>
      <w:r>
        <w:rPr>
          <w:noProof/>
        </w:rPr>
        <w:t>.</w:t>
      </w:r>
    </w:p>
    <w:p w14:paraId="0886F1D3" w14:textId="61508F2A" w:rsidR="00C31F8E" w:rsidRPr="00C72DEB" w:rsidRDefault="00C31F8E" w:rsidP="00C31F8E">
      <w:pPr>
        <w:pStyle w:val="Text2"/>
        <w:ind w:left="0"/>
        <w:rPr>
          <w:noProof/>
        </w:rPr>
      </w:pPr>
      <w:r>
        <w:rPr>
          <w:noProof/>
        </w:rPr>
        <w:t xml:space="preserve">Despite limited overall information, the FSR Review Study </w:t>
      </w:r>
      <w:r w:rsidRPr="0053510B">
        <w:rPr>
          <w:noProof/>
        </w:rPr>
        <w:t xml:space="preserve">analysed </w:t>
      </w:r>
      <w:r>
        <w:rPr>
          <w:noProof/>
        </w:rPr>
        <w:t xml:space="preserve">a </w:t>
      </w:r>
      <w:r w:rsidRPr="0053510B">
        <w:rPr>
          <w:noProof/>
        </w:rPr>
        <w:t xml:space="preserve">sample </w:t>
      </w:r>
      <w:r>
        <w:rPr>
          <w:noProof/>
        </w:rPr>
        <w:t>of</w:t>
      </w:r>
      <w:r w:rsidRPr="0053510B">
        <w:rPr>
          <w:noProof/>
        </w:rPr>
        <w:t xml:space="preserve"> </w:t>
      </w:r>
      <w:r>
        <w:rPr>
          <w:noProof/>
        </w:rPr>
        <w:t xml:space="preserve">30 cases with a total of </w:t>
      </w:r>
      <w:r w:rsidRPr="0053510B">
        <w:rPr>
          <w:noProof/>
        </w:rPr>
        <w:t>42 submissions</w:t>
      </w:r>
      <w:r>
        <w:rPr>
          <w:noProof/>
        </w:rPr>
        <w:t xml:space="preserve"> (</w:t>
      </w:r>
      <w:r w:rsidRPr="0053510B">
        <w:rPr>
          <w:noProof/>
        </w:rPr>
        <w:t>nine notifications</w:t>
      </w:r>
      <w:r>
        <w:rPr>
          <w:noProof/>
        </w:rPr>
        <w:t xml:space="preserve"> and 33 declarations) to gain a more granular insight</w:t>
      </w:r>
      <w:r w:rsidRPr="0053510B">
        <w:rPr>
          <w:noProof/>
        </w:rPr>
        <w:t xml:space="preserve">. Only a minority of </w:t>
      </w:r>
      <w:r>
        <w:rPr>
          <w:noProof/>
        </w:rPr>
        <w:t>submissions</w:t>
      </w:r>
      <w:r w:rsidRPr="00C72DEB">
        <w:rPr>
          <w:noProof/>
        </w:rPr>
        <w:t xml:space="preserve"> clearly indicated that the included FFC information </w:t>
      </w:r>
      <w:r>
        <w:rPr>
          <w:noProof/>
        </w:rPr>
        <w:t>was granted to</w:t>
      </w:r>
      <w:r w:rsidRPr="00C72DEB">
        <w:rPr>
          <w:noProof/>
        </w:rPr>
        <w:t xml:space="preserve"> the notifying party (or parties</w:t>
      </w:r>
      <w:r w:rsidRPr="00B1300F">
        <w:rPr>
          <w:noProof/>
        </w:rPr>
        <w:t xml:space="preserve">), </w:t>
      </w:r>
      <w:r>
        <w:rPr>
          <w:noProof/>
        </w:rPr>
        <w:t xml:space="preserve">to </w:t>
      </w:r>
      <w:r w:rsidRPr="00C72DEB">
        <w:rPr>
          <w:noProof/>
        </w:rPr>
        <w:t xml:space="preserve">their holding companies and subsidiaries. In most </w:t>
      </w:r>
      <w:r>
        <w:rPr>
          <w:noProof/>
        </w:rPr>
        <w:t>submissions</w:t>
      </w:r>
      <w:r w:rsidRPr="00B1300F">
        <w:rPr>
          <w:noProof/>
        </w:rPr>
        <w:t>,</w:t>
      </w:r>
      <w:r w:rsidRPr="00C72DEB">
        <w:rPr>
          <w:noProof/>
        </w:rPr>
        <w:t xml:space="preserve"> FFCs granted to group entities </w:t>
      </w:r>
      <w:r>
        <w:rPr>
          <w:noProof/>
        </w:rPr>
        <w:t xml:space="preserve">other than the notifying party within the scope of </w:t>
      </w:r>
      <w:r w:rsidR="001F4E8C">
        <w:rPr>
          <w:noProof/>
        </w:rPr>
        <w:t>Article </w:t>
      </w:r>
      <w:r>
        <w:rPr>
          <w:noProof/>
        </w:rPr>
        <w:t xml:space="preserve">28(1)(b) FSR </w:t>
      </w:r>
      <w:r w:rsidRPr="00C72DEB">
        <w:rPr>
          <w:noProof/>
        </w:rPr>
        <w:t>were missing.</w:t>
      </w:r>
    </w:p>
    <w:p w14:paraId="3BF7E07A" w14:textId="7C240DEC" w:rsidR="00C31F8E" w:rsidRPr="00C72DEB" w:rsidRDefault="00C31F8E" w:rsidP="00C31F8E">
      <w:pPr>
        <w:pStyle w:val="Text2"/>
        <w:ind w:left="0"/>
        <w:rPr>
          <w:noProof/>
        </w:rPr>
      </w:pPr>
      <w:r>
        <w:rPr>
          <w:noProof/>
        </w:rPr>
        <w:t>Furthermore, n</w:t>
      </w:r>
      <w:r w:rsidRPr="00C72DEB">
        <w:rPr>
          <w:noProof/>
        </w:rPr>
        <w:t xml:space="preserve">one of the nine notifications reported FFCs that </w:t>
      </w:r>
      <w:r w:rsidR="00D61C6C">
        <w:rPr>
          <w:noProof/>
        </w:rPr>
        <w:t>could</w:t>
      </w:r>
      <w:r w:rsidR="00D61C6C" w:rsidRPr="00C72DEB">
        <w:rPr>
          <w:noProof/>
        </w:rPr>
        <w:t xml:space="preserve"> </w:t>
      </w:r>
      <w:r w:rsidRPr="00C72DEB">
        <w:rPr>
          <w:noProof/>
        </w:rPr>
        <w:t xml:space="preserve">fall under </w:t>
      </w:r>
      <w:r w:rsidR="001F4E8C" w:rsidRPr="00C72DEB">
        <w:rPr>
          <w:noProof/>
        </w:rPr>
        <w:t>Article</w:t>
      </w:r>
      <w:r w:rsidR="001F4E8C">
        <w:rPr>
          <w:noProof/>
        </w:rPr>
        <w:t> </w:t>
      </w:r>
      <w:r w:rsidRPr="00C72DEB">
        <w:rPr>
          <w:noProof/>
        </w:rPr>
        <w:t>5(1), points (a) to (c) and (e) FSR</w:t>
      </w:r>
      <w:r w:rsidR="00230AD6" w:rsidRPr="00230AD6">
        <w:rPr>
          <w:noProof/>
        </w:rPr>
        <w:t> (</w:t>
      </w:r>
      <w:r>
        <w:rPr>
          <w:rStyle w:val="FootnoteReference"/>
          <w:noProof/>
        </w:rPr>
        <w:footnoteReference w:id="81"/>
      </w:r>
      <w:r w:rsidR="00230AD6">
        <w:rPr>
          <w:noProof/>
        </w:rPr>
        <w:t>)</w:t>
      </w:r>
      <w:r w:rsidRPr="00C72DEB">
        <w:rPr>
          <w:noProof/>
        </w:rPr>
        <w:t xml:space="preserve">. All nine forms included FFCs that do not fall into </w:t>
      </w:r>
      <w:r w:rsidR="001F4E8C" w:rsidRPr="00C72DEB">
        <w:rPr>
          <w:noProof/>
        </w:rPr>
        <w:t>Article</w:t>
      </w:r>
      <w:r w:rsidR="001F4E8C">
        <w:rPr>
          <w:noProof/>
        </w:rPr>
        <w:t> </w:t>
      </w:r>
      <w:r w:rsidRPr="00C72DEB">
        <w:rPr>
          <w:noProof/>
        </w:rPr>
        <w:t xml:space="preserve">5 FSR. Eight of those nine submissions contained FFC details in Table 1 in </w:t>
      </w:r>
      <w:r w:rsidR="00B10957">
        <w:rPr>
          <w:noProof/>
        </w:rPr>
        <w:t>Form FS-PP</w:t>
      </w:r>
      <w:r w:rsidRPr="00C72DEB">
        <w:rPr>
          <w:noProof/>
        </w:rPr>
        <w:t xml:space="preserve">. In the remaining submission, Table 1 was intentionally left blank, because the contributions were considered </w:t>
      </w:r>
      <w:r w:rsidR="00B707AE">
        <w:rPr>
          <w:noProof/>
        </w:rPr>
        <w:t>e</w:t>
      </w:r>
      <w:r w:rsidRPr="00C72DEB">
        <w:rPr>
          <w:noProof/>
        </w:rPr>
        <w:t>xempt under Section B</w:t>
      </w:r>
      <w:r>
        <w:rPr>
          <w:noProof/>
        </w:rPr>
        <w:t xml:space="preserve"> </w:t>
      </w:r>
      <w:r w:rsidRPr="00C72DEB">
        <w:rPr>
          <w:noProof/>
        </w:rPr>
        <w:t xml:space="preserve">(6) of </w:t>
      </w:r>
      <w:r w:rsidR="00B10957">
        <w:rPr>
          <w:noProof/>
        </w:rPr>
        <w:t>Form FS-PP</w:t>
      </w:r>
      <w:r w:rsidR="00230AD6" w:rsidRPr="00230AD6">
        <w:rPr>
          <w:noProof/>
        </w:rPr>
        <w:t> (</w:t>
      </w:r>
      <w:r>
        <w:rPr>
          <w:rStyle w:val="FootnoteReference"/>
          <w:noProof/>
        </w:rPr>
        <w:footnoteReference w:id="82"/>
      </w:r>
      <w:r w:rsidR="00230AD6">
        <w:rPr>
          <w:noProof/>
        </w:rPr>
        <w:t>)</w:t>
      </w:r>
      <w:r w:rsidRPr="00C72DEB">
        <w:rPr>
          <w:noProof/>
        </w:rPr>
        <w:t>.</w:t>
      </w:r>
    </w:p>
    <w:p w14:paraId="2F6B8455" w14:textId="188626DB" w:rsidR="00C31F8E" w:rsidRPr="00115B5E" w:rsidRDefault="00C31F8E" w:rsidP="00C31F8E">
      <w:pPr>
        <w:pStyle w:val="Text2"/>
        <w:ind w:left="0"/>
        <w:rPr>
          <w:noProof/>
        </w:rPr>
      </w:pPr>
      <w:r w:rsidRPr="00C72DEB">
        <w:rPr>
          <w:noProof/>
        </w:rPr>
        <w:t xml:space="preserve">In the eight cases where Table 1 was completed, economic operators notified having received on average </w:t>
      </w:r>
      <w:r w:rsidRPr="00F03424">
        <w:rPr>
          <w:noProof/>
        </w:rPr>
        <w:t>11</w:t>
      </w:r>
      <w:r w:rsidR="001F4E8C">
        <w:rPr>
          <w:noProof/>
        </w:rPr>
        <w:t>.</w:t>
      </w:r>
      <w:r w:rsidRPr="00F03424">
        <w:rPr>
          <w:noProof/>
        </w:rPr>
        <w:t>4</w:t>
      </w:r>
      <w:r>
        <w:rPr>
          <w:noProof/>
        </w:rPr>
        <w:t xml:space="preserve"> different</w:t>
      </w:r>
      <w:r w:rsidRPr="00F03424">
        <w:rPr>
          <w:noProof/>
        </w:rPr>
        <w:t xml:space="preserve"> FFCs from 2</w:t>
      </w:r>
      <w:r w:rsidR="001F4E8C">
        <w:rPr>
          <w:noProof/>
        </w:rPr>
        <w:t>.</w:t>
      </w:r>
      <w:r w:rsidRPr="00F03424">
        <w:rPr>
          <w:noProof/>
        </w:rPr>
        <w:t>8</w:t>
      </w:r>
      <w:r w:rsidRPr="00115B5E">
        <w:rPr>
          <w:noProof/>
        </w:rPr>
        <w:t xml:space="preserve"> countries. The </w:t>
      </w:r>
      <w:r w:rsidR="008604C5">
        <w:rPr>
          <w:noProof/>
        </w:rPr>
        <w:t>third</w:t>
      </w:r>
      <w:r w:rsidRPr="00115B5E">
        <w:rPr>
          <w:noProof/>
        </w:rPr>
        <w:t xml:space="preserve"> countries which provided those FFCs included Benin, Brazil, </w:t>
      </w:r>
      <w:r>
        <w:rPr>
          <w:noProof/>
        </w:rPr>
        <w:t xml:space="preserve">Canada, Costa Rica, India, Iraq, Japan, Libya, North Macedonia, Norway, Philippines, Qatar, </w:t>
      </w:r>
      <w:r w:rsidRPr="00115B5E">
        <w:rPr>
          <w:noProof/>
        </w:rPr>
        <w:t xml:space="preserve">Saudi Arabia, </w:t>
      </w:r>
      <w:r>
        <w:rPr>
          <w:noProof/>
        </w:rPr>
        <w:t xml:space="preserve">Serbia, Singapore, Switzerland, Taiwan, </w:t>
      </w:r>
      <w:r w:rsidRPr="00115B5E">
        <w:rPr>
          <w:noProof/>
        </w:rPr>
        <w:t xml:space="preserve">Türkiye, </w:t>
      </w:r>
      <w:r w:rsidR="00E81DA4">
        <w:rPr>
          <w:noProof/>
        </w:rPr>
        <w:t xml:space="preserve">the </w:t>
      </w:r>
      <w:r w:rsidRPr="00115B5E">
        <w:rPr>
          <w:noProof/>
        </w:rPr>
        <w:t xml:space="preserve">United Arab Emirates, </w:t>
      </w:r>
      <w:r w:rsidR="00E81DA4">
        <w:rPr>
          <w:noProof/>
        </w:rPr>
        <w:t>the</w:t>
      </w:r>
      <w:r w:rsidRPr="00115B5E">
        <w:rPr>
          <w:noProof/>
        </w:rPr>
        <w:t xml:space="preserve"> </w:t>
      </w:r>
      <w:r>
        <w:rPr>
          <w:noProof/>
        </w:rPr>
        <w:t>United Kingdom</w:t>
      </w:r>
      <w:r w:rsidR="00454446">
        <w:rPr>
          <w:noProof/>
        </w:rPr>
        <w:t xml:space="preserve"> and</w:t>
      </w:r>
      <w:r>
        <w:rPr>
          <w:noProof/>
        </w:rPr>
        <w:t xml:space="preserve"> </w:t>
      </w:r>
      <w:r w:rsidR="00E81DA4">
        <w:rPr>
          <w:noProof/>
        </w:rPr>
        <w:t xml:space="preserve">the </w:t>
      </w:r>
      <w:r>
        <w:rPr>
          <w:noProof/>
        </w:rPr>
        <w:t>United States (including Puerto Rico)</w:t>
      </w:r>
      <w:r w:rsidRPr="00115B5E">
        <w:rPr>
          <w:noProof/>
        </w:rPr>
        <w:t xml:space="preserve">. The types of FFCs in these tables included tax advantages, fiscal incentives, purchase of goods and services, grants, financing instruments, overdraft facilities, automatic direct debit systems, guarantees and loans. Aggregate estimated value ranges per country were also provided in tables. </w:t>
      </w:r>
    </w:p>
    <w:p w14:paraId="4AC08CD1" w14:textId="79E3B2F0" w:rsidR="00C31F8E" w:rsidRPr="000B35A8" w:rsidRDefault="00B707AE" w:rsidP="006041B3">
      <w:pPr>
        <w:pStyle w:val="ListParagraph"/>
        <w:keepNext/>
        <w:numPr>
          <w:ilvl w:val="0"/>
          <w:numId w:val="218"/>
        </w:numPr>
        <w:ind w:left="714" w:hanging="357"/>
        <w:rPr>
          <w:noProof/>
          <w:lang w:eastAsia="en-IE"/>
        </w:rPr>
      </w:pPr>
      <w:bookmarkStart w:id="135" w:name="_Toc228286502"/>
      <w:r>
        <w:rPr>
          <w:i/>
          <w:noProof/>
          <w:lang w:eastAsia="en-IE"/>
        </w:rPr>
        <w:t>T</w:t>
      </w:r>
      <w:r w:rsidRPr="00836900">
        <w:rPr>
          <w:i/>
          <w:noProof/>
          <w:lang w:eastAsia="en-IE"/>
        </w:rPr>
        <w:t>he Commission</w:t>
      </w:r>
      <w:r>
        <w:rPr>
          <w:i/>
          <w:noProof/>
          <w:lang w:eastAsia="en-IE"/>
        </w:rPr>
        <w:t>’s</w:t>
      </w:r>
      <w:r w:rsidRPr="00836900">
        <w:rPr>
          <w:i/>
          <w:noProof/>
          <w:lang w:eastAsia="en-IE"/>
        </w:rPr>
        <w:t xml:space="preserve"> </w:t>
      </w:r>
      <w:r>
        <w:rPr>
          <w:i/>
          <w:noProof/>
          <w:lang w:eastAsia="en-IE"/>
        </w:rPr>
        <w:t>R</w:t>
      </w:r>
      <w:r w:rsidR="00461E87">
        <w:rPr>
          <w:i/>
          <w:noProof/>
          <w:lang w:eastAsia="en-IE"/>
        </w:rPr>
        <w:t>f</w:t>
      </w:r>
      <w:r>
        <w:rPr>
          <w:i/>
          <w:noProof/>
          <w:lang w:eastAsia="en-IE"/>
        </w:rPr>
        <w:t>I</w:t>
      </w:r>
      <w:r w:rsidR="00C31F8E" w:rsidRPr="00836900">
        <w:rPr>
          <w:i/>
          <w:noProof/>
          <w:lang w:eastAsia="en-IE"/>
        </w:rPr>
        <w:t xml:space="preserve"> practice </w:t>
      </w:r>
      <w:bookmarkEnd w:id="135"/>
    </w:p>
    <w:p w14:paraId="57E702E5" w14:textId="3B8A87A4" w:rsidR="00C31F8E" w:rsidRDefault="00C31F8E" w:rsidP="00C31F8E">
      <w:pPr>
        <w:pStyle w:val="Text2"/>
        <w:ind w:left="0"/>
        <w:rPr>
          <w:noProof/>
        </w:rPr>
      </w:pPr>
      <w:r>
        <w:rPr>
          <w:noProof/>
        </w:rPr>
        <w:t xml:space="preserve">Based on the FSR Review Study, the Commission </w:t>
      </w:r>
      <w:r w:rsidR="001F4E8C">
        <w:rPr>
          <w:noProof/>
        </w:rPr>
        <w:t>services</w:t>
      </w:r>
      <w:r>
        <w:rPr>
          <w:noProof/>
        </w:rPr>
        <w:t xml:space="preserve"> often use requests for information (</w:t>
      </w:r>
      <w:r w:rsidR="001238DC">
        <w:rPr>
          <w:noProof/>
        </w:rPr>
        <w:t>‘</w:t>
      </w:r>
      <w:r w:rsidR="00B707AE">
        <w:rPr>
          <w:noProof/>
        </w:rPr>
        <w:t>RfI</w:t>
      </w:r>
      <w:r w:rsidR="00454446">
        <w:rPr>
          <w:noProof/>
        </w:rPr>
        <w:t>s</w:t>
      </w:r>
      <w:r w:rsidR="001238DC">
        <w:rPr>
          <w:noProof/>
        </w:rPr>
        <w:t>’</w:t>
      </w:r>
      <w:r>
        <w:rPr>
          <w:noProof/>
        </w:rPr>
        <w:t xml:space="preserve">) during the preliminary review. Due to continued lack of awareness of economic operators </w:t>
      </w:r>
      <w:r w:rsidR="00B707AE">
        <w:rPr>
          <w:noProof/>
        </w:rPr>
        <w:t xml:space="preserve">about </w:t>
      </w:r>
      <w:r>
        <w:rPr>
          <w:noProof/>
        </w:rPr>
        <w:t>their</w:t>
      </w:r>
      <w:r w:rsidR="00B707AE">
        <w:rPr>
          <w:noProof/>
        </w:rPr>
        <w:t xml:space="preserve"> own</w:t>
      </w:r>
      <w:r>
        <w:rPr>
          <w:noProof/>
        </w:rPr>
        <w:t xml:space="preserve"> reporting obligation, these </w:t>
      </w:r>
      <w:r w:rsidR="00B707AE">
        <w:rPr>
          <w:noProof/>
        </w:rPr>
        <w:t>RfI</w:t>
      </w:r>
      <w:r>
        <w:rPr>
          <w:noProof/>
        </w:rPr>
        <w:t xml:space="preserve">s serve to clarify various aspects of </w:t>
      </w:r>
      <w:r w:rsidR="00B10957">
        <w:rPr>
          <w:noProof/>
        </w:rPr>
        <w:t>Form FS-PP</w:t>
      </w:r>
      <w:r>
        <w:rPr>
          <w:noProof/>
        </w:rPr>
        <w:t xml:space="preserve"> or to request information that appears to be missing, e.g. </w:t>
      </w:r>
      <w:r w:rsidR="00C54DEA">
        <w:rPr>
          <w:noProof/>
        </w:rPr>
        <w:t xml:space="preserve">information </w:t>
      </w:r>
      <w:r>
        <w:rPr>
          <w:noProof/>
        </w:rPr>
        <w:t xml:space="preserve">known from publicly available </w:t>
      </w:r>
      <w:r w:rsidR="00C54DEA">
        <w:rPr>
          <w:noProof/>
        </w:rPr>
        <w:t>sources</w:t>
      </w:r>
      <w:r>
        <w:rPr>
          <w:noProof/>
        </w:rPr>
        <w:t xml:space="preserve"> </w:t>
      </w:r>
      <w:r w:rsidR="00C54DEA">
        <w:rPr>
          <w:noProof/>
        </w:rPr>
        <w:t xml:space="preserve">that </w:t>
      </w:r>
      <w:r>
        <w:rPr>
          <w:noProof/>
        </w:rPr>
        <w:t xml:space="preserve">should have been included in </w:t>
      </w:r>
      <w:r w:rsidR="00B10957">
        <w:rPr>
          <w:noProof/>
        </w:rPr>
        <w:t>Form FS-PP</w:t>
      </w:r>
      <w:r>
        <w:rPr>
          <w:noProof/>
        </w:rPr>
        <w:t>.</w:t>
      </w:r>
      <w:r w:rsidR="00C54DEA">
        <w:rPr>
          <w:noProof/>
        </w:rPr>
        <w:t xml:space="preserve"> </w:t>
      </w:r>
      <w:r w:rsidR="006B6A30" w:rsidRPr="006B6A30">
        <w:rPr>
          <w:noProof/>
        </w:rPr>
        <w:t>In this regard, the Commission</w:t>
      </w:r>
      <w:r w:rsidR="001F4E8C">
        <w:rPr>
          <w:noProof/>
        </w:rPr>
        <w:t xml:space="preserve"> services</w:t>
      </w:r>
      <w:r w:rsidR="006B6A30" w:rsidRPr="006B6A30">
        <w:rPr>
          <w:noProof/>
        </w:rPr>
        <w:t>’ case practice shows limited use of pre-notification contacts prior to submission.</w:t>
      </w:r>
    </w:p>
    <w:p w14:paraId="5466E448" w14:textId="18C3F635" w:rsidR="00C31F8E" w:rsidRPr="001E3BA0" w:rsidRDefault="00C31F8E" w:rsidP="00C31F8E">
      <w:pPr>
        <w:pStyle w:val="Text2"/>
        <w:ind w:left="0"/>
        <w:rPr>
          <w:noProof/>
        </w:rPr>
      </w:pPr>
      <w:r>
        <w:rPr>
          <w:noProof/>
        </w:rPr>
        <w:t xml:space="preserve">According to the analysis of the FSR Review Study, focusing on a limited sample of 30 cases, </w:t>
      </w:r>
      <w:r w:rsidR="005D6A2A">
        <w:rPr>
          <w:noProof/>
        </w:rPr>
        <w:t>an</w:t>
      </w:r>
      <w:r>
        <w:rPr>
          <w:noProof/>
        </w:rPr>
        <w:t xml:space="preserve"> average</w:t>
      </w:r>
      <w:r w:rsidR="005D6A2A">
        <w:rPr>
          <w:noProof/>
        </w:rPr>
        <w:t xml:space="preserve"> of</w:t>
      </w:r>
      <w:r>
        <w:rPr>
          <w:noProof/>
        </w:rPr>
        <w:t xml:space="preserve"> 1</w:t>
      </w:r>
      <w:r w:rsidR="00D36DE8">
        <w:rPr>
          <w:noProof/>
        </w:rPr>
        <w:t>.</w:t>
      </w:r>
      <w:r>
        <w:rPr>
          <w:noProof/>
        </w:rPr>
        <w:t xml:space="preserve">75 </w:t>
      </w:r>
      <w:r w:rsidR="00B707AE">
        <w:rPr>
          <w:noProof/>
        </w:rPr>
        <w:t>RfI</w:t>
      </w:r>
      <w:r w:rsidR="005D6A2A">
        <w:rPr>
          <w:noProof/>
        </w:rPr>
        <w:t>s</w:t>
      </w:r>
      <w:r>
        <w:rPr>
          <w:noProof/>
        </w:rPr>
        <w:t xml:space="preserve"> were issued per case under the public procurement </w:t>
      </w:r>
      <w:r w:rsidR="00D36DE8">
        <w:rPr>
          <w:noProof/>
        </w:rPr>
        <w:t xml:space="preserve">procedure </w:t>
      </w:r>
      <w:r>
        <w:rPr>
          <w:noProof/>
        </w:rPr>
        <w:t>of</w:t>
      </w:r>
      <w:r w:rsidR="00D36DE8">
        <w:rPr>
          <w:noProof/>
        </w:rPr>
        <w:t xml:space="preserve"> the</w:t>
      </w:r>
      <w:r>
        <w:rPr>
          <w:noProof/>
        </w:rPr>
        <w:t xml:space="preserve"> FSR</w:t>
      </w:r>
      <w:r w:rsidR="005D6A2A">
        <w:rPr>
          <w:noProof/>
        </w:rPr>
        <w:t>.</w:t>
      </w:r>
      <w:r>
        <w:rPr>
          <w:noProof/>
        </w:rPr>
        <w:t xml:space="preserve"> </w:t>
      </w:r>
      <w:r w:rsidR="005D6A2A">
        <w:rPr>
          <w:noProof/>
        </w:rPr>
        <w:t xml:space="preserve">Each </w:t>
      </w:r>
      <w:r w:rsidR="00B707AE">
        <w:rPr>
          <w:noProof/>
        </w:rPr>
        <w:t>RfI</w:t>
      </w:r>
      <w:r w:rsidR="005D6A2A">
        <w:rPr>
          <w:noProof/>
        </w:rPr>
        <w:t xml:space="preserve"> </w:t>
      </w:r>
      <w:r>
        <w:rPr>
          <w:noProof/>
        </w:rPr>
        <w:t>included</w:t>
      </w:r>
      <w:r w:rsidR="00D36DE8">
        <w:rPr>
          <w:noProof/>
        </w:rPr>
        <w:t xml:space="preserve"> </w:t>
      </w:r>
      <w:r w:rsidR="005D6A2A">
        <w:rPr>
          <w:noProof/>
        </w:rPr>
        <w:t>o</w:t>
      </w:r>
      <w:r w:rsidR="00D36DE8">
        <w:rPr>
          <w:noProof/>
        </w:rPr>
        <w:t>n average</w:t>
      </w:r>
      <w:r>
        <w:rPr>
          <w:noProof/>
        </w:rPr>
        <w:t xml:space="preserve"> three questions, although with </w:t>
      </w:r>
      <w:r w:rsidR="005D6A2A">
        <w:rPr>
          <w:noProof/>
        </w:rPr>
        <w:t xml:space="preserve">significant variation </w:t>
      </w:r>
      <w:r>
        <w:rPr>
          <w:noProof/>
        </w:rPr>
        <w:t xml:space="preserve">ranging from </w:t>
      </w:r>
      <w:r w:rsidR="005D6A2A">
        <w:rPr>
          <w:noProof/>
        </w:rPr>
        <w:t>one</w:t>
      </w:r>
      <w:r>
        <w:rPr>
          <w:noProof/>
        </w:rPr>
        <w:t xml:space="preserve"> to </w:t>
      </w:r>
      <w:r w:rsidR="005D6A2A">
        <w:rPr>
          <w:noProof/>
        </w:rPr>
        <w:t>ten questions</w:t>
      </w:r>
      <w:r>
        <w:rPr>
          <w:noProof/>
        </w:rPr>
        <w:t xml:space="preserve">. In cases where multiple </w:t>
      </w:r>
      <w:r w:rsidR="00B707AE">
        <w:rPr>
          <w:noProof/>
        </w:rPr>
        <w:t>RfI</w:t>
      </w:r>
      <w:r w:rsidR="00C54DEA">
        <w:rPr>
          <w:noProof/>
        </w:rPr>
        <w:t>s</w:t>
      </w:r>
      <w:r>
        <w:rPr>
          <w:noProof/>
        </w:rPr>
        <w:t xml:space="preserve"> were issued, later requests followed up on unresolved issues from previous ones and added new questions. </w:t>
      </w:r>
      <w:r w:rsidRPr="005B2C64">
        <w:rPr>
          <w:noProof/>
        </w:rPr>
        <w:t xml:space="preserve">The average deadline was four working days after the date of </w:t>
      </w:r>
      <w:r>
        <w:rPr>
          <w:noProof/>
        </w:rPr>
        <w:t>request</w:t>
      </w:r>
      <w:r w:rsidRPr="005B2C64">
        <w:rPr>
          <w:noProof/>
        </w:rPr>
        <w:t xml:space="preserve">, and the median was </w:t>
      </w:r>
      <w:r>
        <w:rPr>
          <w:noProof/>
        </w:rPr>
        <w:t>four</w:t>
      </w:r>
      <w:r w:rsidRPr="005B2C64">
        <w:rPr>
          <w:noProof/>
        </w:rPr>
        <w:t xml:space="preserve"> working days</w:t>
      </w:r>
      <w:r>
        <w:rPr>
          <w:noProof/>
        </w:rPr>
        <w:t xml:space="preserve"> as well</w:t>
      </w:r>
      <w:r w:rsidRPr="005B2C64">
        <w:rPr>
          <w:noProof/>
        </w:rPr>
        <w:t>, with a range from two to eight working days.</w:t>
      </w:r>
    </w:p>
    <w:p w14:paraId="0A5076E0" w14:textId="46D8534C" w:rsidR="00C31F8E" w:rsidRDefault="00C31F8E" w:rsidP="00C31F8E">
      <w:pPr>
        <w:pStyle w:val="Text2"/>
        <w:ind w:left="0"/>
        <w:rPr>
          <w:noProof/>
          <w:szCs w:val="24"/>
        </w:rPr>
      </w:pPr>
      <w:r>
        <w:rPr>
          <w:noProof/>
        </w:rPr>
        <w:t xml:space="preserve">The data on replies to </w:t>
      </w:r>
      <w:r w:rsidR="00B707AE">
        <w:rPr>
          <w:noProof/>
        </w:rPr>
        <w:t>RfI</w:t>
      </w:r>
      <w:r>
        <w:rPr>
          <w:noProof/>
        </w:rPr>
        <w:t xml:space="preserve">s and response timing </w:t>
      </w:r>
      <w:r w:rsidR="006B6A30">
        <w:rPr>
          <w:noProof/>
        </w:rPr>
        <w:t xml:space="preserve">assessed by the FSR Review Study </w:t>
      </w:r>
      <w:r>
        <w:rPr>
          <w:noProof/>
        </w:rPr>
        <w:t xml:space="preserve">showed considerable differences in compliance. In some cases, the replies were complete and addressed the questions raised in the </w:t>
      </w:r>
      <w:r w:rsidR="00B707AE">
        <w:rPr>
          <w:noProof/>
        </w:rPr>
        <w:t>RfI</w:t>
      </w:r>
      <w:r>
        <w:rPr>
          <w:noProof/>
        </w:rPr>
        <w:t xml:space="preserve">s. In others, key information was missing, which triggered a follow-up </w:t>
      </w:r>
      <w:r w:rsidR="00B707AE">
        <w:rPr>
          <w:noProof/>
        </w:rPr>
        <w:t>RfI</w:t>
      </w:r>
      <w:r w:rsidRPr="00C72DEB">
        <w:rPr>
          <w:noProof/>
          <w:szCs w:val="24"/>
        </w:rPr>
        <w:t xml:space="preserve">. </w:t>
      </w:r>
    </w:p>
    <w:p w14:paraId="4BED253F" w14:textId="740052B0" w:rsidR="00C31F8E" w:rsidRPr="002F3442" w:rsidRDefault="00C31F8E" w:rsidP="00C31F8E">
      <w:pPr>
        <w:pStyle w:val="Text2"/>
        <w:ind w:left="0"/>
        <w:rPr>
          <w:noProof/>
        </w:rPr>
      </w:pPr>
      <w:r>
        <w:rPr>
          <w:noProof/>
        </w:rPr>
        <w:t xml:space="preserve">The main topics covered in the </w:t>
      </w:r>
      <w:r w:rsidR="00B707AE">
        <w:rPr>
          <w:noProof/>
        </w:rPr>
        <w:t>RfI</w:t>
      </w:r>
      <w:r w:rsidR="00C54DEA">
        <w:rPr>
          <w:noProof/>
        </w:rPr>
        <w:t>s</w:t>
      </w:r>
      <w:r>
        <w:rPr>
          <w:noProof/>
        </w:rPr>
        <w:t xml:space="preserve"> concerned the ownership structure of groups, details of </w:t>
      </w:r>
      <w:r w:rsidR="00C54DEA">
        <w:rPr>
          <w:noProof/>
        </w:rPr>
        <w:t>FFCs</w:t>
      </w:r>
      <w:r>
        <w:rPr>
          <w:noProof/>
        </w:rPr>
        <w:t>, potentially notifiable FFCs not reported, financial statements or yearly reports or most recent FFCs.</w:t>
      </w:r>
    </w:p>
    <w:p w14:paraId="63BAD2BA" w14:textId="77777777" w:rsidR="00C31F8E" w:rsidRPr="000B35A8" w:rsidRDefault="00C31F8E" w:rsidP="006041B3">
      <w:pPr>
        <w:pStyle w:val="ListParagraph"/>
        <w:keepNext/>
        <w:numPr>
          <w:ilvl w:val="0"/>
          <w:numId w:val="218"/>
        </w:numPr>
        <w:ind w:left="714" w:hanging="357"/>
        <w:rPr>
          <w:noProof/>
        </w:rPr>
      </w:pPr>
      <w:bookmarkStart w:id="136" w:name="_Toc228286503"/>
      <w:r w:rsidRPr="00836900">
        <w:rPr>
          <w:i/>
          <w:noProof/>
        </w:rPr>
        <w:t>Procedural timelines</w:t>
      </w:r>
      <w:bookmarkEnd w:id="136"/>
    </w:p>
    <w:p w14:paraId="1133188B" w14:textId="6C5B13F8" w:rsidR="00C31F8E" w:rsidRDefault="003B55DD" w:rsidP="00C31F8E">
      <w:pPr>
        <w:spacing w:after="240"/>
        <w:rPr>
          <w:noProof/>
          <w:szCs w:val="24"/>
        </w:rPr>
      </w:pPr>
      <w:r>
        <w:rPr>
          <w:noProof/>
          <w:szCs w:val="24"/>
          <w:lang w:eastAsia="en-IE"/>
        </w:rPr>
        <w:t>The FSR Review Study notes</w:t>
      </w:r>
      <w:r w:rsidRPr="00C72DEB">
        <w:rPr>
          <w:noProof/>
          <w:szCs w:val="24"/>
          <w:lang w:eastAsia="en-IE"/>
        </w:rPr>
        <w:t xml:space="preserve"> that </w:t>
      </w:r>
      <w:r w:rsidR="00C31F8E" w:rsidRPr="00C72DEB">
        <w:rPr>
          <w:noProof/>
          <w:szCs w:val="24"/>
          <w:lang w:eastAsia="en-IE"/>
        </w:rPr>
        <w:t>the 20-</w:t>
      </w:r>
      <w:r w:rsidR="00C31F8E">
        <w:rPr>
          <w:noProof/>
          <w:szCs w:val="24"/>
          <w:lang w:eastAsia="en-IE"/>
        </w:rPr>
        <w:t>working-</w:t>
      </w:r>
      <w:r w:rsidR="00C31F8E" w:rsidRPr="00C72DEB">
        <w:rPr>
          <w:noProof/>
          <w:szCs w:val="24"/>
          <w:lang w:eastAsia="en-IE"/>
        </w:rPr>
        <w:t xml:space="preserve">day deadline </w:t>
      </w:r>
      <w:r w:rsidR="00C31F8E">
        <w:rPr>
          <w:noProof/>
          <w:szCs w:val="24"/>
          <w:lang w:eastAsia="en-IE"/>
        </w:rPr>
        <w:t xml:space="preserve">for the preliminary review under </w:t>
      </w:r>
      <w:r w:rsidR="00522F0B">
        <w:rPr>
          <w:noProof/>
          <w:szCs w:val="24"/>
          <w:lang w:eastAsia="en-IE"/>
        </w:rPr>
        <w:t>Article </w:t>
      </w:r>
      <w:r w:rsidR="00C31F8E">
        <w:rPr>
          <w:noProof/>
          <w:szCs w:val="24"/>
          <w:lang w:eastAsia="en-IE"/>
        </w:rPr>
        <w:t xml:space="preserve">30(2) FSR </w:t>
      </w:r>
      <w:r w:rsidR="00C31F8E" w:rsidRPr="00C72DEB">
        <w:rPr>
          <w:noProof/>
          <w:szCs w:val="24"/>
          <w:lang w:eastAsia="en-IE"/>
        </w:rPr>
        <w:t>is</w:t>
      </w:r>
      <w:r w:rsidR="00C31F8E">
        <w:rPr>
          <w:noProof/>
          <w:szCs w:val="24"/>
          <w:lang w:eastAsia="en-IE"/>
        </w:rPr>
        <w:t xml:space="preserve"> often </w:t>
      </w:r>
      <w:r w:rsidR="007427C7">
        <w:rPr>
          <w:noProof/>
          <w:szCs w:val="24"/>
          <w:lang w:eastAsia="en-IE"/>
        </w:rPr>
        <w:t>challenging</w:t>
      </w:r>
      <w:r w:rsidR="007C4A6D">
        <w:rPr>
          <w:noProof/>
          <w:szCs w:val="24"/>
          <w:lang w:eastAsia="en-IE"/>
        </w:rPr>
        <w:t xml:space="preserve">, particularly in cases where the Commission envisages adopting a decision on </w:t>
      </w:r>
      <w:r w:rsidR="007427C7">
        <w:rPr>
          <w:noProof/>
          <w:szCs w:val="24"/>
          <w:lang w:eastAsia="en-IE"/>
        </w:rPr>
        <w:t xml:space="preserve">incompleteness, on </w:t>
      </w:r>
      <w:r w:rsidR="007C4A6D">
        <w:rPr>
          <w:noProof/>
          <w:szCs w:val="24"/>
          <w:lang w:eastAsia="en-IE"/>
        </w:rPr>
        <w:t>opening an in-depth investigation</w:t>
      </w:r>
      <w:r w:rsidR="007427C7">
        <w:rPr>
          <w:noProof/>
          <w:szCs w:val="24"/>
          <w:lang w:eastAsia="en-IE"/>
        </w:rPr>
        <w:t xml:space="preserve"> or on the imposition of fines</w:t>
      </w:r>
      <w:r w:rsidR="00C31F8E">
        <w:rPr>
          <w:noProof/>
          <w:szCs w:val="24"/>
          <w:lang w:eastAsia="en-IE"/>
        </w:rPr>
        <w:t xml:space="preserve">. Because of formal and substantive shortcomings of submissions the Commission </w:t>
      </w:r>
      <w:r w:rsidR="00F040DB">
        <w:rPr>
          <w:noProof/>
          <w:szCs w:val="24"/>
          <w:lang w:eastAsia="en-IE"/>
        </w:rPr>
        <w:t xml:space="preserve">services </w:t>
      </w:r>
      <w:r w:rsidR="00C31F8E">
        <w:rPr>
          <w:noProof/>
          <w:szCs w:val="24"/>
          <w:lang w:eastAsia="en-IE"/>
        </w:rPr>
        <w:t xml:space="preserve">often spend a significant part of </w:t>
      </w:r>
      <w:r w:rsidR="00F040DB">
        <w:rPr>
          <w:noProof/>
          <w:szCs w:val="24"/>
          <w:lang w:eastAsia="en-IE"/>
        </w:rPr>
        <w:t xml:space="preserve">the </w:t>
      </w:r>
      <w:r w:rsidR="00C31F8E">
        <w:rPr>
          <w:noProof/>
          <w:szCs w:val="24"/>
          <w:lang w:eastAsia="en-IE"/>
        </w:rPr>
        <w:t xml:space="preserve">preliminary review on gathering data that should have been </w:t>
      </w:r>
      <w:r w:rsidR="00FE4EAD">
        <w:rPr>
          <w:noProof/>
          <w:szCs w:val="24"/>
          <w:lang w:eastAsia="en-IE"/>
        </w:rPr>
        <w:t>included</w:t>
      </w:r>
      <w:r w:rsidR="00ED346C">
        <w:rPr>
          <w:noProof/>
          <w:szCs w:val="24"/>
          <w:lang w:eastAsia="en-IE"/>
        </w:rPr>
        <w:t xml:space="preserve"> in the initial</w:t>
      </w:r>
      <w:r w:rsidR="00C31F8E">
        <w:rPr>
          <w:noProof/>
          <w:szCs w:val="24"/>
          <w:lang w:eastAsia="en-IE"/>
        </w:rPr>
        <w:t xml:space="preserve"> notification. </w:t>
      </w:r>
      <w:r w:rsidR="00C31F8E" w:rsidRPr="00C72DEB">
        <w:rPr>
          <w:noProof/>
          <w:szCs w:val="24"/>
        </w:rPr>
        <w:t xml:space="preserve">In practice, this requires sending </w:t>
      </w:r>
      <w:r w:rsidR="00B707AE">
        <w:rPr>
          <w:noProof/>
          <w:szCs w:val="24"/>
        </w:rPr>
        <w:t>RfI</w:t>
      </w:r>
      <w:r w:rsidR="00067331">
        <w:rPr>
          <w:noProof/>
          <w:szCs w:val="24"/>
        </w:rPr>
        <w:t>s</w:t>
      </w:r>
      <w:r w:rsidR="00C31F8E" w:rsidRPr="00C72DEB">
        <w:rPr>
          <w:noProof/>
          <w:szCs w:val="24"/>
        </w:rPr>
        <w:t xml:space="preserve"> with deadlines of typically 3–5 working days. For large corporations with </w:t>
      </w:r>
      <w:r w:rsidR="00C31F8E">
        <w:rPr>
          <w:noProof/>
          <w:szCs w:val="24"/>
        </w:rPr>
        <w:t>worldwide</w:t>
      </w:r>
      <w:r w:rsidR="00C31F8E" w:rsidRPr="00C72DEB">
        <w:rPr>
          <w:noProof/>
          <w:szCs w:val="24"/>
        </w:rPr>
        <w:t xml:space="preserve"> holdings and subsidiaries, providing the requested information within such a timeframe is challenging</w:t>
      </w:r>
      <w:r w:rsidR="00C31F8E">
        <w:rPr>
          <w:noProof/>
          <w:szCs w:val="24"/>
        </w:rPr>
        <w:t>.</w:t>
      </w:r>
      <w:r w:rsidR="00C31F8E" w:rsidRPr="00A21859">
        <w:rPr>
          <w:noProof/>
          <w:szCs w:val="24"/>
        </w:rPr>
        <w:t xml:space="preserve"> </w:t>
      </w:r>
      <w:r w:rsidR="00C31F8E" w:rsidRPr="00C72DEB">
        <w:rPr>
          <w:noProof/>
          <w:szCs w:val="24"/>
        </w:rPr>
        <w:t xml:space="preserve">These difficulties are further compounded when </w:t>
      </w:r>
      <w:r w:rsidR="00B707AE">
        <w:rPr>
          <w:noProof/>
          <w:szCs w:val="24"/>
        </w:rPr>
        <w:t>RfI</w:t>
      </w:r>
      <w:r w:rsidR="00067331">
        <w:rPr>
          <w:noProof/>
          <w:szCs w:val="24"/>
        </w:rPr>
        <w:t>s</w:t>
      </w:r>
      <w:r w:rsidR="00C31F8E" w:rsidRPr="00C72DEB">
        <w:rPr>
          <w:noProof/>
          <w:szCs w:val="24"/>
        </w:rPr>
        <w:t xml:space="preserve"> </w:t>
      </w:r>
      <w:r w:rsidR="007A3981">
        <w:rPr>
          <w:noProof/>
          <w:szCs w:val="24"/>
        </w:rPr>
        <w:t>target</w:t>
      </w:r>
      <w:r w:rsidR="00C31F8E" w:rsidRPr="00C72DEB">
        <w:rPr>
          <w:noProof/>
          <w:szCs w:val="24"/>
        </w:rPr>
        <w:t xml:space="preserve"> entities </w:t>
      </w:r>
      <w:r w:rsidR="00454446">
        <w:rPr>
          <w:noProof/>
          <w:szCs w:val="24"/>
        </w:rPr>
        <w:t xml:space="preserve">that </w:t>
      </w:r>
      <w:r w:rsidR="00FE4EAD">
        <w:rPr>
          <w:noProof/>
          <w:szCs w:val="24"/>
        </w:rPr>
        <w:t xml:space="preserve">are </w:t>
      </w:r>
      <w:r w:rsidR="00C31F8E" w:rsidRPr="00C72DEB">
        <w:rPr>
          <w:noProof/>
          <w:szCs w:val="24"/>
        </w:rPr>
        <w:t>established in</w:t>
      </w:r>
      <w:r w:rsidR="00C31F8E">
        <w:rPr>
          <w:noProof/>
          <w:szCs w:val="24"/>
        </w:rPr>
        <w:t xml:space="preserve"> </w:t>
      </w:r>
      <w:r w:rsidR="008604C5">
        <w:rPr>
          <w:noProof/>
          <w:szCs w:val="24"/>
        </w:rPr>
        <w:t>third</w:t>
      </w:r>
      <w:r w:rsidR="00C31F8E">
        <w:rPr>
          <w:noProof/>
          <w:szCs w:val="24"/>
        </w:rPr>
        <w:t xml:space="preserve"> countries</w:t>
      </w:r>
      <w:r w:rsidR="00FE4EAD">
        <w:rPr>
          <w:noProof/>
          <w:szCs w:val="24"/>
        </w:rPr>
        <w:t xml:space="preserve">, with differing time zones, </w:t>
      </w:r>
      <w:r w:rsidR="00C31F8E" w:rsidRPr="00C72DEB">
        <w:rPr>
          <w:noProof/>
          <w:szCs w:val="24"/>
        </w:rPr>
        <w:t xml:space="preserve">working practices, and legal frameworks </w:t>
      </w:r>
      <w:r w:rsidR="00FE4EAD">
        <w:rPr>
          <w:noProof/>
          <w:szCs w:val="24"/>
        </w:rPr>
        <w:t xml:space="preserve">that </w:t>
      </w:r>
      <w:r w:rsidR="00C31F8E">
        <w:rPr>
          <w:noProof/>
          <w:szCs w:val="24"/>
        </w:rPr>
        <w:t>render</w:t>
      </w:r>
      <w:r w:rsidR="00C31F8E" w:rsidRPr="00C72DEB">
        <w:rPr>
          <w:noProof/>
          <w:szCs w:val="24"/>
        </w:rPr>
        <w:t xml:space="preserve"> coordination operationally time-consuming for both </w:t>
      </w:r>
      <w:r w:rsidR="00C31F8E">
        <w:rPr>
          <w:noProof/>
          <w:szCs w:val="24"/>
        </w:rPr>
        <w:t>economic operators</w:t>
      </w:r>
      <w:r w:rsidR="00C31F8E" w:rsidRPr="00C72DEB">
        <w:rPr>
          <w:noProof/>
          <w:szCs w:val="24"/>
        </w:rPr>
        <w:t xml:space="preserve"> and the Commission</w:t>
      </w:r>
      <w:r w:rsidR="00D35535">
        <w:rPr>
          <w:noProof/>
          <w:szCs w:val="24"/>
        </w:rPr>
        <w:t xml:space="preserve"> services</w:t>
      </w:r>
      <w:r w:rsidR="00C31F8E" w:rsidRPr="00C72DEB">
        <w:rPr>
          <w:noProof/>
          <w:szCs w:val="24"/>
        </w:rPr>
        <w:t>.</w:t>
      </w:r>
    </w:p>
    <w:p w14:paraId="124E647C" w14:textId="7D1A0647" w:rsidR="00C31F8E" w:rsidRDefault="00C31F8E" w:rsidP="00C31F8E">
      <w:pPr>
        <w:spacing w:after="240"/>
        <w:rPr>
          <w:noProof/>
          <w:szCs w:val="24"/>
          <w:lang w:eastAsia="en-IE"/>
        </w:rPr>
      </w:pPr>
      <w:bookmarkStart w:id="137" w:name="_Hlk228811854"/>
      <w:r w:rsidRPr="00C72DEB">
        <w:rPr>
          <w:noProof/>
          <w:szCs w:val="24"/>
          <w:lang w:eastAsia="en-IE"/>
        </w:rPr>
        <w:t xml:space="preserve">Similarly, </w:t>
      </w:r>
      <w:r w:rsidR="003B55DD">
        <w:rPr>
          <w:noProof/>
          <w:szCs w:val="24"/>
          <w:lang w:eastAsia="en-IE"/>
        </w:rPr>
        <w:t xml:space="preserve">as the FSR Review Study indicates, </w:t>
      </w:r>
      <w:r>
        <w:rPr>
          <w:noProof/>
          <w:szCs w:val="24"/>
          <w:lang w:eastAsia="en-IE"/>
        </w:rPr>
        <w:t xml:space="preserve">the </w:t>
      </w:r>
      <w:r w:rsidRPr="00C72DEB">
        <w:rPr>
          <w:noProof/>
          <w:szCs w:val="24"/>
          <w:lang w:eastAsia="en-IE"/>
        </w:rPr>
        <w:t xml:space="preserve">tight timeline for in-depth investigations </w:t>
      </w:r>
      <w:r>
        <w:rPr>
          <w:noProof/>
          <w:szCs w:val="24"/>
          <w:lang w:eastAsia="en-IE"/>
        </w:rPr>
        <w:t>limits</w:t>
      </w:r>
      <w:r w:rsidRPr="00C72DEB">
        <w:rPr>
          <w:noProof/>
          <w:szCs w:val="24"/>
          <w:lang w:eastAsia="en-IE"/>
        </w:rPr>
        <w:t xml:space="preserve"> </w:t>
      </w:r>
      <w:r>
        <w:rPr>
          <w:noProof/>
          <w:szCs w:val="24"/>
          <w:lang w:eastAsia="en-IE"/>
        </w:rPr>
        <w:t xml:space="preserve">the </w:t>
      </w:r>
      <w:r w:rsidRPr="00C72DEB">
        <w:rPr>
          <w:noProof/>
          <w:szCs w:val="24"/>
          <w:lang w:eastAsia="en-IE"/>
        </w:rPr>
        <w:t xml:space="preserve">time for substantive analysis. In particular, the </w:t>
      </w:r>
      <w:r w:rsidRPr="427EDF4C">
        <w:rPr>
          <w:noProof/>
          <w:szCs w:val="24"/>
          <w:lang w:eastAsia="en-IE"/>
        </w:rPr>
        <w:t>110</w:t>
      </w:r>
      <w:r w:rsidRPr="00C72DEB">
        <w:rPr>
          <w:noProof/>
          <w:szCs w:val="24"/>
          <w:lang w:eastAsia="en-IE"/>
        </w:rPr>
        <w:t xml:space="preserve">-day period </w:t>
      </w:r>
      <w:r>
        <w:rPr>
          <w:noProof/>
          <w:szCs w:val="24"/>
          <w:lang w:eastAsia="en-IE"/>
        </w:rPr>
        <w:t xml:space="preserve">pursuant to </w:t>
      </w:r>
      <w:r w:rsidR="00F040DB">
        <w:rPr>
          <w:noProof/>
          <w:szCs w:val="24"/>
          <w:lang w:eastAsia="en-IE"/>
        </w:rPr>
        <w:t>Article </w:t>
      </w:r>
      <w:r>
        <w:rPr>
          <w:noProof/>
          <w:szCs w:val="24"/>
          <w:lang w:eastAsia="en-IE"/>
        </w:rPr>
        <w:t xml:space="preserve">30(5) </w:t>
      </w:r>
      <w:r w:rsidRPr="4BE2BB8B">
        <w:rPr>
          <w:noProof/>
          <w:szCs w:val="24"/>
          <w:lang w:eastAsia="en-IE"/>
        </w:rPr>
        <w:t xml:space="preserve">FSR </w:t>
      </w:r>
      <w:r w:rsidRPr="00C72DEB">
        <w:rPr>
          <w:noProof/>
          <w:szCs w:val="24"/>
          <w:lang w:eastAsia="en-IE"/>
        </w:rPr>
        <w:t>for such investigations is operationally challenging</w:t>
      </w:r>
      <w:r>
        <w:rPr>
          <w:noProof/>
          <w:szCs w:val="24"/>
          <w:lang w:eastAsia="en-IE"/>
        </w:rPr>
        <w:t xml:space="preserve">. </w:t>
      </w:r>
      <w:bookmarkEnd w:id="137"/>
    </w:p>
    <w:p w14:paraId="6471ADE7" w14:textId="77777777" w:rsidR="00C31F8E" w:rsidRPr="008C3C21" w:rsidRDefault="00C31F8E" w:rsidP="00836900">
      <w:pPr>
        <w:pStyle w:val="Heading4"/>
        <w:rPr>
          <w:noProof/>
          <w:lang w:eastAsia="en-IE"/>
        </w:rPr>
      </w:pPr>
      <w:bookmarkStart w:id="138" w:name="_Toc228286504"/>
      <w:bookmarkStart w:id="139" w:name="_Toc234227877"/>
      <w:r w:rsidRPr="00983B26">
        <w:rPr>
          <w:noProof/>
        </w:rPr>
        <w:t xml:space="preserve">Enhanced legal </w:t>
      </w:r>
      <w:r>
        <w:rPr>
          <w:noProof/>
        </w:rPr>
        <w:t xml:space="preserve">guidance </w:t>
      </w:r>
      <w:r w:rsidRPr="00983B26">
        <w:rPr>
          <w:noProof/>
        </w:rPr>
        <w:t xml:space="preserve">and procedural </w:t>
      </w:r>
      <w:r>
        <w:rPr>
          <w:noProof/>
        </w:rPr>
        <w:t>support</w:t>
      </w:r>
      <w:bookmarkEnd w:id="138"/>
      <w:bookmarkEnd w:id="139"/>
      <w:r>
        <w:rPr>
          <w:noProof/>
          <w:lang w:eastAsia="en-IE"/>
        </w:rPr>
        <w:t xml:space="preserve"> </w:t>
      </w:r>
    </w:p>
    <w:p w14:paraId="78297458" w14:textId="20A55E97" w:rsidR="00C31F8E" w:rsidRPr="008A2999" w:rsidRDefault="00FC23E8" w:rsidP="00C31F8E">
      <w:pPr>
        <w:rPr>
          <w:noProof/>
          <w:szCs w:val="24"/>
        </w:rPr>
      </w:pPr>
      <w:r>
        <w:rPr>
          <w:noProof/>
          <w:szCs w:val="24"/>
        </w:rPr>
        <w:t>The</w:t>
      </w:r>
      <w:r w:rsidR="00C31F8E">
        <w:rPr>
          <w:noProof/>
          <w:szCs w:val="24"/>
        </w:rPr>
        <w:t xml:space="preserve"> Commission </w:t>
      </w:r>
      <w:r w:rsidR="00D35535">
        <w:rPr>
          <w:noProof/>
          <w:szCs w:val="24"/>
        </w:rPr>
        <w:t>services</w:t>
      </w:r>
      <w:r w:rsidR="00C31F8E">
        <w:rPr>
          <w:noProof/>
          <w:szCs w:val="24"/>
        </w:rPr>
        <w:t xml:space="preserve"> is actively refining and </w:t>
      </w:r>
      <w:r w:rsidR="00C31F8E" w:rsidRPr="00901023">
        <w:rPr>
          <w:noProof/>
          <w:szCs w:val="24"/>
        </w:rPr>
        <w:t>deploying</w:t>
      </w:r>
      <w:r w:rsidR="00C31F8E" w:rsidRPr="008A2999">
        <w:rPr>
          <w:noProof/>
          <w:szCs w:val="24"/>
        </w:rPr>
        <w:t xml:space="preserve"> a </w:t>
      </w:r>
      <w:r w:rsidR="00C31F8E">
        <w:rPr>
          <w:noProof/>
          <w:szCs w:val="24"/>
        </w:rPr>
        <w:t>coherent set</w:t>
      </w:r>
      <w:r w:rsidR="00C31F8E" w:rsidRPr="008A2999">
        <w:rPr>
          <w:noProof/>
          <w:szCs w:val="24"/>
        </w:rPr>
        <w:t xml:space="preserve"> of </w:t>
      </w:r>
      <w:r w:rsidR="00C31F8E">
        <w:rPr>
          <w:noProof/>
          <w:szCs w:val="24"/>
        </w:rPr>
        <w:t>administrative measures</w:t>
      </w:r>
      <w:r w:rsidR="00C31F8E" w:rsidRPr="008A2999">
        <w:rPr>
          <w:noProof/>
          <w:szCs w:val="24"/>
        </w:rPr>
        <w:t xml:space="preserve"> </w:t>
      </w:r>
      <w:r w:rsidR="00C31F8E">
        <w:rPr>
          <w:noProof/>
          <w:szCs w:val="24"/>
        </w:rPr>
        <w:t xml:space="preserve">and tools </w:t>
      </w:r>
      <w:r w:rsidR="00C31F8E" w:rsidRPr="008A2999">
        <w:rPr>
          <w:noProof/>
          <w:szCs w:val="24"/>
        </w:rPr>
        <w:t xml:space="preserve">to </w:t>
      </w:r>
      <w:r w:rsidR="00C31F8E">
        <w:rPr>
          <w:noProof/>
          <w:szCs w:val="24"/>
        </w:rPr>
        <w:t xml:space="preserve">ensure their effective and timely </w:t>
      </w:r>
      <w:r w:rsidR="00C31F8E" w:rsidRPr="00901023">
        <w:rPr>
          <w:noProof/>
          <w:szCs w:val="24"/>
        </w:rPr>
        <w:t>handling.</w:t>
      </w:r>
      <w:r w:rsidR="00C31F8E" w:rsidRPr="008A2999">
        <w:rPr>
          <w:noProof/>
          <w:szCs w:val="24"/>
        </w:rPr>
        <w:t xml:space="preserve"> </w:t>
      </w:r>
      <w:r w:rsidR="00C31F8E">
        <w:rPr>
          <w:noProof/>
          <w:szCs w:val="24"/>
        </w:rPr>
        <w:t xml:space="preserve">This includes the </w:t>
      </w:r>
      <w:r w:rsidR="00C31F8E" w:rsidRPr="006B1A4C">
        <w:rPr>
          <w:noProof/>
          <w:szCs w:val="24"/>
        </w:rPr>
        <w:t>establishment of a dedicated notification and registration system, which supports streamlined processing</w:t>
      </w:r>
      <w:r w:rsidR="00C31F8E">
        <w:rPr>
          <w:noProof/>
          <w:szCs w:val="24"/>
        </w:rPr>
        <w:t xml:space="preserve"> and</w:t>
      </w:r>
      <w:r w:rsidR="00C31F8E" w:rsidRPr="006B1A4C">
        <w:rPr>
          <w:noProof/>
          <w:szCs w:val="24"/>
        </w:rPr>
        <w:t xml:space="preserve"> improved traceability</w:t>
      </w:r>
      <w:r w:rsidR="00C31F8E">
        <w:rPr>
          <w:noProof/>
          <w:szCs w:val="24"/>
        </w:rPr>
        <w:t>.</w:t>
      </w:r>
    </w:p>
    <w:p w14:paraId="696156B7" w14:textId="5199A910" w:rsidR="00C31F8E" w:rsidRPr="008A2999" w:rsidRDefault="00C31F8E" w:rsidP="00C31F8E">
      <w:pPr>
        <w:rPr>
          <w:noProof/>
          <w:szCs w:val="24"/>
        </w:rPr>
      </w:pPr>
      <w:r w:rsidRPr="008A2999">
        <w:rPr>
          <w:noProof/>
          <w:szCs w:val="24"/>
        </w:rPr>
        <w:t xml:space="preserve">Over the past </w:t>
      </w:r>
      <w:r>
        <w:rPr>
          <w:noProof/>
          <w:szCs w:val="24"/>
        </w:rPr>
        <w:t>three</w:t>
      </w:r>
      <w:r w:rsidRPr="008A2999">
        <w:rPr>
          <w:noProof/>
          <w:szCs w:val="24"/>
        </w:rPr>
        <w:t xml:space="preserve"> years, </w:t>
      </w:r>
      <w:r>
        <w:rPr>
          <w:noProof/>
          <w:szCs w:val="24"/>
        </w:rPr>
        <w:t>the Commission</w:t>
      </w:r>
      <w:r w:rsidR="00B707AE">
        <w:rPr>
          <w:noProof/>
          <w:szCs w:val="24"/>
        </w:rPr>
        <w:t xml:space="preserve"> </w:t>
      </w:r>
      <w:r w:rsidR="00D35535">
        <w:rPr>
          <w:noProof/>
          <w:szCs w:val="24"/>
        </w:rPr>
        <w:t>services</w:t>
      </w:r>
      <w:r w:rsidR="00B707AE">
        <w:rPr>
          <w:noProof/>
          <w:szCs w:val="24"/>
        </w:rPr>
        <w:t xml:space="preserve"> ha</w:t>
      </w:r>
      <w:r w:rsidR="00D35535">
        <w:rPr>
          <w:noProof/>
          <w:szCs w:val="24"/>
        </w:rPr>
        <w:t>ve</w:t>
      </w:r>
      <w:r w:rsidRPr="008A2999" w:rsidDel="00D433AE">
        <w:rPr>
          <w:noProof/>
          <w:szCs w:val="24"/>
        </w:rPr>
        <w:t xml:space="preserve"> </w:t>
      </w:r>
      <w:r>
        <w:rPr>
          <w:noProof/>
          <w:szCs w:val="24"/>
        </w:rPr>
        <w:t>focused mainly on strengthening</w:t>
      </w:r>
      <w:r w:rsidRPr="008A2999">
        <w:rPr>
          <w:noProof/>
          <w:szCs w:val="24"/>
        </w:rPr>
        <w:t xml:space="preserve"> procedural and legal guidance for stakeholders</w:t>
      </w:r>
      <w:r w:rsidRPr="00901023">
        <w:rPr>
          <w:noProof/>
          <w:szCs w:val="24"/>
        </w:rPr>
        <w:t>,</w:t>
      </w:r>
      <w:r>
        <w:rPr>
          <w:noProof/>
          <w:szCs w:val="24"/>
        </w:rPr>
        <w:t xml:space="preserve"> and on </w:t>
      </w:r>
      <w:r w:rsidRPr="008A2999">
        <w:rPr>
          <w:noProof/>
          <w:szCs w:val="24"/>
        </w:rPr>
        <w:t xml:space="preserve">developing IT systems tailored to </w:t>
      </w:r>
      <w:r w:rsidR="001D2B3A">
        <w:rPr>
          <w:noProof/>
          <w:szCs w:val="24"/>
        </w:rPr>
        <w:t xml:space="preserve">the </w:t>
      </w:r>
      <w:r>
        <w:rPr>
          <w:noProof/>
          <w:szCs w:val="24"/>
        </w:rPr>
        <w:t>FSR</w:t>
      </w:r>
      <w:r w:rsidRPr="00901023">
        <w:rPr>
          <w:noProof/>
          <w:szCs w:val="24"/>
        </w:rPr>
        <w:t>.</w:t>
      </w:r>
      <w:r>
        <w:rPr>
          <w:noProof/>
          <w:szCs w:val="24"/>
        </w:rPr>
        <w:t xml:space="preserve"> </w:t>
      </w:r>
    </w:p>
    <w:p w14:paraId="5648A955" w14:textId="3BAEC7C9" w:rsidR="00C31F8E" w:rsidRDefault="00C31F8E" w:rsidP="00C31F8E">
      <w:pPr>
        <w:rPr>
          <w:noProof/>
          <w:szCs w:val="24"/>
        </w:rPr>
      </w:pPr>
      <w:r w:rsidRPr="00901023">
        <w:rPr>
          <w:noProof/>
          <w:szCs w:val="24"/>
        </w:rPr>
        <w:t>The</w:t>
      </w:r>
      <w:r>
        <w:rPr>
          <w:noProof/>
          <w:szCs w:val="24"/>
        </w:rPr>
        <w:t xml:space="preserve"> Commission </w:t>
      </w:r>
      <w:r w:rsidR="00D35535">
        <w:rPr>
          <w:noProof/>
          <w:szCs w:val="24"/>
        </w:rPr>
        <w:t xml:space="preserve">services </w:t>
      </w:r>
      <w:r>
        <w:rPr>
          <w:noProof/>
          <w:szCs w:val="24"/>
        </w:rPr>
        <w:t>ha</w:t>
      </w:r>
      <w:r w:rsidR="00D35535">
        <w:rPr>
          <w:noProof/>
          <w:szCs w:val="24"/>
        </w:rPr>
        <w:t>ve</w:t>
      </w:r>
      <w:r w:rsidRPr="00054065">
        <w:rPr>
          <w:noProof/>
          <w:szCs w:val="24"/>
        </w:rPr>
        <w:t xml:space="preserve"> </w:t>
      </w:r>
      <w:r>
        <w:rPr>
          <w:noProof/>
          <w:szCs w:val="24"/>
        </w:rPr>
        <w:t xml:space="preserve">stepped up its efforts to make it easier </w:t>
      </w:r>
      <w:r w:rsidR="00DB5DC6">
        <w:rPr>
          <w:noProof/>
          <w:szCs w:val="24"/>
        </w:rPr>
        <w:t xml:space="preserve">for stakeholders </w:t>
      </w:r>
      <w:r>
        <w:rPr>
          <w:noProof/>
          <w:szCs w:val="24"/>
        </w:rPr>
        <w:t xml:space="preserve">to navigate the FSR and to clarify </w:t>
      </w:r>
      <w:r w:rsidR="00DB5DC6">
        <w:rPr>
          <w:noProof/>
          <w:szCs w:val="24"/>
        </w:rPr>
        <w:t>their</w:t>
      </w:r>
      <w:r w:rsidR="00DB5DC6" w:rsidRPr="00054065">
        <w:rPr>
          <w:noProof/>
          <w:szCs w:val="24"/>
        </w:rPr>
        <w:t xml:space="preserve"> </w:t>
      </w:r>
      <w:r w:rsidRPr="00054065">
        <w:rPr>
          <w:noProof/>
          <w:szCs w:val="24"/>
        </w:rPr>
        <w:t>legal obligations and</w:t>
      </w:r>
      <w:r w:rsidR="00DB5DC6">
        <w:rPr>
          <w:noProof/>
          <w:szCs w:val="24"/>
        </w:rPr>
        <w:t xml:space="preserve"> the</w:t>
      </w:r>
      <w:r w:rsidRPr="00054065">
        <w:rPr>
          <w:noProof/>
          <w:szCs w:val="24"/>
        </w:rPr>
        <w:t xml:space="preserve"> </w:t>
      </w:r>
      <w:r>
        <w:rPr>
          <w:noProof/>
          <w:szCs w:val="24"/>
        </w:rPr>
        <w:t xml:space="preserve">applicable </w:t>
      </w:r>
      <w:r w:rsidRPr="00054065">
        <w:rPr>
          <w:noProof/>
          <w:szCs w:val="24"/>
        </w:rPr>
        <w:t xml:space="preserve">procedures. </w:t>
      </w:r>
      <w:r w:rsidRPr="00901023">
        <w:rPr>
          <w:noProof/>
          <w:szCs w:val="24"/>
        </w:rPr>
        <w:t xml:space="preserve">This </w:t>
      </w:r>
      <w:r>
        <w:rPr>
          <w:noProof/>
          <w:szCs w:val="24"/>
        </w:rPr>
        <w:t>has brought a dual result:</w:t>
      </w:r>
      <w:r w:rsidRPr="008A2999">
        <w:rPr>
          <w:noProof/>
          <w:szCs w:val="24"/>
        </w:rPr>
        <w:t xml:space="preserve"> </w:t>
      </w:r>
      <w:r w:rsidR="00B707AE">
        <w:rPr>
          <w:noProof/>
          <w:szCs w:val="24"/>
        </w:rPr>
        <w:t>(i)</w:t>
      </w:r>
      <w:r w:rsidR="00F040DB">
        <w:rPr>
          <w:noProof/>
          <w:szCs w:val="24"/>
        </w:rPr>
        <w:t> </w:t>
      </w:r>
      <w:r w:rsidRPr="00901023">
        <w:rPr>
          <w:noProof/>
          <w:szCs w:val="24"/>
        </w:rPr>
        <w:t>reducing</w:t>
      </w:r>
      <w:r w:rsidRPr="00054065">
        <w:rPr>
          <w:noProof/>
          <w:szCs w:val="24"/>
        </w:rPr>
        <w:t xml:space="preserve"> the volume </w:t>
      </w:r>
      <w:r>
        <w:rPr>
          <w:noProof/>
          <w:szCs w:val="24"/>
        </w:rPr>
        <w:t xml:space="preserve">of </w:t>
      </w:r>
      <w:r w:rsidRPr="00054065">
        <w:rPr>
          <w:noProof/>
          <w:szCs w:val="24"/>
        </w:rPr>
        <w:t>queries received</w:t>
      </w:r>
      <w:r w:rsidRPr="008A2999">
        <w:rPr>
          <w:noProof/>
          <w:szCs w:val="24"/>
        </w:rPr>
        <w:t xml:space="preserve">, </w:t>
      </w:r>
      <w:r w:rsidR="00B707AE">
        <w:rPr>
          <w:noProof/>
          <w:szCs w:val="24"/>
        </w:rPr>
        <w:t>and (ii)</w:t>
      </w:r>
      <w:r w:rsidR="00F040DB">
        <w:rPr>
          <w:noProof/>
          <w:szCs w:val="24"/>
        </w:rPr>
        <w:t> </w:t>
      </w:r>
      <w:r>
        <w:rPr>
          <w:noProof/>
          <w:szCs w:val="24"/>
        </w:rPr>
        <w:t>facilitating more efficient and</w:t>
      </w:r>
      <w:r w:rsidRPr="008A2999">
        <w:rPr>
          <w:noProof/>
          <w:szCs w:val="24"/>
        </w:rPr>
        <w:t xml:space="preserve"> streamline</w:t>
      </w:r>
      <w:r>
        <w:rPr>
          <w:noProof/>
          <w:szCs w:val="24"/>
        </w:rPr>
        <w:t>d</w:t>
      </w:r>
      <w:r w:rsidRPr="008A2999">
        <w:rPr>
          <w:noProof/>
          <w:szCs w:val="24"/>
        </w:rPr>
        <w:t xml:space="preserve"> interactions between </w:t>
      </w:r>
      <w:r>
        <w:rPr>
          <w:noProof/>
          <w:szCs w:val="24"/>
        </w:rPr>
        <w:t>Commission</w:t>
      </w:r>
      <w:r w:rsidRPr="008A2999">
        <w:rPr>
          <w:noProof/>
          <w:szCs w:val="24"/>
        </w:rPr>
        <w:t xml:space="preserve"> service</w:t>
      </w:r>
      <w:r>
        <w:rPr>
          <w:noProof/>
          <w:szCs w:val="24"/>
        </w:rPr>
        <w:t>s</w:t>
      </w:r>
      <w:r w:rsidRPr="008A2999">
        <w:rPr>
          <w:noProof/>
          <w:szCs w:val="24"/>
        </w:rPr>
        <w:t xml:space="preserve"> and stakeholders.</w:t>
      </w:r>
      <w:r w:rsidRPr="00C72DEB" w:rsidDel="00BD2C92">
        <w:rPr>
          <w:noProof/>
          <w:szCs w:val="24"/>
        </w:rPr>
        <w:t xml:space="preserve"> </w:t>
      </w:r>
    </w:p>
    <w:p w14:paraId="3C950F93" w14:textId="3885A32E" w:rsidR="00C31F8E" w:rsidRPr="00C72DEB" w:rsidRDefault="00C31F8E" w:rsidP="00C31F8E">
      <w:pPr>
        <w:rPr>
          <w:noProof/>
          <w:szCs w:val="24"/>
          <w:lang w:val="en-IE"/>
        </w:rPr>
      </w:pPr>
      <w:r w:rsidRPr="00901023">
        <w:rPr>
          <w:noProof/>
          <w:szCs w:val="24"/>
        </w:rPr>
        <w:t>Through</w:t>
      </w:r>
      <w:r w:rsidRPr="008A2999">
        <w:rPr>
          <w:noProof/>
          <w:szCs w:val="24"/>
        </w:rPr>
        <w:t xml:space="preserve"> a dedicated functional mailbox</w:t>
      </w:r>
      <w:r>
        <w:rPr>
          <w:noProof/>
          <w:szCs w:val="24"/>
        </w:rPr>
        <w:t>, the Commission receives</w:t>
      </w:r>
      <w:r w:rsidRPr="008A2999">
        <w:rPr>
          <w:noProof/>
          <w:szCs w:val="24"/>
        </w:rPr>
        <w:t xml:space="preserve"> </w:t>
      </w:r>
      <w:r>
        <w:rPr>
          <w:noProof/>
          <w:szCs w:val="24"/>
        </w:rPr>
        <w:t xml:space="preserve">queries both from contracting authorities as well as from economic operators: </w:t>
      </w:r>
      <w:r w:rsidRPr="008A2999">
        <w:rPr>
          <w:noProof/>
          <w:szCs w:val="24"/>
        </w:rPr>
        <w:t xml:space="preserve">on average 20 queries per month about legal interpretation and </w:t>
      </w:r>
      <w:r>
        <w:rPr>
          <w:noProof/>
          <w:szCs w:val="24"/>
        </w:rPr>
        <w:t xml:space="preserve">approximately </w:t>
      </w:r>
      <w:r w:rsidRPr="008A2999">
        <w:rPr>
          <w:noProof/>
          <w:szCs w:val="24"/>
        </w:rPr>
        <w:t>45 per month on procedural aspects</w:t>
      </w:r>
      <w:r w:rsidRPr="00901023">
        <w:rPr>
          <w:noProof/>
          <w:szCs w:val="24"/>
        </w:rPr>
        <w:t>.</w:t>
      </w:r>
      <w:r w:rsidRPr="008A2999" w:rsidDel="00416F36">
        <w:rPr>
          <w:noProof/>
          <w:szCs w:val="24"/>
        </w:rPr>
        <w:t xml:space="preserve"> </w:t>
      </w:r>
      <w:r>
        <w:rPr>
          <w:noProof/>
          <w:szCs w:val="24"/>
        </w:rPr>
        <w:t>An</w:t>
      </w:r>
      <w:r w:rsidRPr="008A2999">
        <w:rPr>
          <w:noProof/>
          <w:szCs w:val="24"/>
        </w:rPr>
        <w:t xml:space="preserve"> average response time </w:t>
      </w:r>
      <w:r>
        <w:rPr>
          <w:noProof/>
          <w:szCs w:val="24"/>
        </w:rPr>
        <w:t xml:space="preserve">of </w:t>
      </w:r>
      <w:r w:rsidRPr="008A2999">
        <w:rPr>
          <w:noProof/>
          <w:szCs w:val="24"/>
        </w:rPr>
        <w:t>24 hours</w:t>
      </w:r>
      <w:r>
        <w:rPr>
          <w:noProof/>
          <w:szCs w:val="24"/>
        </w:rPr>
        <w:t xml:space="preserve"> is maintained </w:t>
      </w:r>
      <w:r w:rsidR="00B707AE">
        <w:rPr>
          <w:noProof/>
          <w:szCs w:val="24"/>
        </w:rPr>
        <w:t xml:space="preserve">for </w:t>
      </w:r>
      <w:r>
        <w:rPr>
          <w:noProof/>
          <w:szCs w:val="24"/>
        </w:rPr>
        <w:t xml:space="preserve">procedural queries to ensure </w:t>
      </w:r>
      <w:r w:rsidRPr="00901023">
        <w:rPr>
          <w:noProof/>
          <w:szCs w:val="24"/>
        </w:rPr>
        <w:t>timely and reliable guidance.</w:t>
      </w:r>
      <w:r>
        <w:rPr>
          <w:noProof/>
          <w:szCs w:val="24"/>
        </w:rPr>
        <w:t xml:space="preserve"> Response time to substantive queries </w:t>
      </w:r>
      <w:r w:rsidR="00B707AE">
        <w:rPr>
          <w:noProof/>
          <w:szCs w:val="24"/>
        </w:rPr>
        <w:t xml:space="preserve">about </w:t>
      </w:r>
      <w:r>
        <w:rPr>
          <w:noProof/>
          <w:szCs w:val="24"/>
        </w:rPr>
        <w:t>legal interpretation varies on the complexity of the question, not exceeding a maximum 15 working day response time.</w:t>
      </w:r>
    </w:p>
    <w:p w14:paraId="3D83513F" w14:textId="078F2AD8" w:rsidR="00C31F8E" w:rsidRPr="00C72DEB" w:rsidRDefault="00C31F8E" w:rsidP="00C31F8E">
      <w:pPr>
        <w:rPr>
          <w:noProof/>
        </w:rPr>
      </w:pPr>
      <w:r w:rsidRPr="00EA0EF4">
        <w:rPr>
          <w:noProof/>
          <w:szCs w:val="24"/>
        </w:rPr>
        <w:t xml:space="preserve">As the primary entry point for stakeholders, the </w:t>
      </w:r>
      <w:r w:rsidR="00AA6017" w:rsidRPr="00081917">
        <w:rPr>
          <w:noProof/>
        </w:rPr>
        <w:t>official website</w:t>
      </w:r>
      <w:r>
        <w:rPr>
          <w:noProof/>
          <w:szCs w:val="24"/>
        </w:rPr>
        <w:t xml:space="preserve"> </w:t>
      </w:r>
      <w:r w:rsidRPr="0014348A">
        <w:rPr>
          <w:rStyle w:val="CommentReference"/>
          <w:noProof/>
          <w:sz w:val="24"/>
          <w:szCs w:val="40"/>
        </w:rPr>
        <w:t>of DG GROW on FSR</w:t>
      </w:r>
      <w:r w:rsidRPr="0014348A">
        <w:rPr>
          <w:noProof/>
          <w:sz w:val="40"/>
          <w:szCs w:val="40"/>
        </w:rPr>
        <w:t xml:space="preserve"> </w:t>
      </w:r>
      <w:r w:rsidRPr="00C72DEB">
        <w:rPr>
          <w:noProof/>
          <w:szCs w:val="24"/>
        </w:rPr>
        <w:t>is continuously updated to provide information and guidance</w:t>
      </w:r>
      <w:r w:rsidDel="007F6875">
        <w:rPr>
          <w:noProof/>
          <w:szCs w:val="24"/>
        </w:rPr>
        <w:t xml:space="preserve"> </w:t>
      </w:r>
      <w:r w:rsidRPr="00C72DEB">
        <w:rPr>
          <w:noProof/>
          <w:szCs w:val="24"/>
        </w:rPr>
        <w:t>that is clear, comprehensive and accessible</w:t>
      </w:r>
      <w:r w:rsidR="00230AD6" w:rsidRPr="00230AD6">
        <w:rPr>
          <w:noProof/>
          <w:szCs w:val="24"/>
        </w:rPr>
        <w:t> (</w:t>
      </w:r>
      <w:r>
        <w:rPr>
          <w:rStyle w:val="FootnoteReference"/>
          <w:noProof/>
          <w:szCs w:val="24"/>
        </w:rPr>
        <w:footnoteReference w:id="83"/>
      </w:r>
      <w:r w:rsidR="00230AD6">
        <w:rPr>
          <w:noProof/>
          <w:szCs w:val="24"/>
        </w:rPr>
        <w:t>)</w:t>
      </w:r>
      <w:r w:rsidR="000F50D6">
        <w:rPr>
          <w:noProof/>
          <w:szCs w:val="24"/>
        </w:rPr>
        <w:t>.</w:t>
      </w:r>
    </w:p>
    <w:p w14:paraId="71D0A55E" w14:textId="04B91D98" w:rsidR="00C31F8E" w:rsidRDefault="00C31F8E" w:rsidP="00C31F8E">
      <w:pPr>
        <w:rPr>
          <w:noProof/>
          <w:szCs w:val="24"/>
        </w:rPr>
      </w:pPr>
      <w:r w:rsidRPr="005645D9">
        <w:rPr>
          <w:noProof/>
          <w:szCs w:val="24"/>
        </w:rPr>
        <w:t xml:space="preserve">Building on the experience gained during the </w:t>
      </w:r>
      <w:r w:rsidR="00CD2426">
        <w:rPr>
          <w:noProof/>
          <w:szCs w:val="24"/>
        </w:rPr>
        <w:t>FSR</w:t>
      </w:r>
      <w:r w:rsidR="00CD2426" w:rsidRPr="005645D9">
        <w:rPr>
          <w:noProof/>
          <w:szCs w:val="24"/>
        </w:rPr>
        <w:t xml:space="preserve"> </w:t>
      </w:r>
      <w:r w:rsidRPr="005645D9">
        <w:rPr>
          <w:noProof/>
          <w:szCs w:val="24"/>
        </w:rPr>
        <w:t xml:space="preserve">implementation, the dedicated webpages for </w:t>
      </w:r>
      <w:r w:rsidR="0049098E" w:rsidRPr="00081917">
        <w:rPr>
          <w:noProof/>
        </w:rPr>
        <w:t>contracting authorities</w:t>
      </w:r>
      <w:r w:rsidR="0049098E" w:rsidRPr="0049098E">
        <w:rPr>
          <w:noProof/>
        </w:rPr>
        <w:t> (</w:t>
      </w:r>
      <w:r w:rsidR="0049098E">
        <w:rPr>
          <w:rStyle w:val="FootnoteReference"/>
          <w:noProof/>
        </w:rPr>
        <w:footnoteReference w:id="84"/>
      </w:r>
      <w:r w:rsidR="0049098E">
        <w:rPr>
          <w:noProof/>
        </w:rPr>
        <w:t>)</w:t>
      </w:r>
      <w:r w:rsidRPr="005645D9">
        <w:rPr>
          <w:noProof/>
          <w:szCs w:val="24"/>
        </w:rPr>
        <w:t xml:space="preserve"> and </w:t>
      </w:r>
      <w:r w:rsidR="0049098E" w:rsidRPr="00081917">
        <w:rPr>
          <w:noProof/>
        </w:rPr>
        <w:t xml:space="preserve">economic </w:t>
      </w:r>
      <w:r w:rsidR="00F040DB" w:rsidRPr="00081917">
        <w:rPr>
          <w:noProof/>
        </w:rPr>
        <w:t>operators</w:t>
      </w:r>
      <w:r w:rsidR="00F040DB">
        <w:rPr>
          <w:noProof/>
        </w:rPr>
        <w:t> </w:t>
      </w:r>
      <w:r w:rsidR="0049098E" w:rsidRPr="00230AD6">
        <w:rPr>
          <w:noProof/>
          <w:szCs w:val="24"/>
        </w:rPr>
        <w:t>(</w:t>
      </w:r>
      <w:r w:rsidR="0049098E">
        <w:rPr>
          <w:rStyle w:val="FootnoteReference"/>
          <w:noProof/>
          <w:szCs w:val="24"/>
        </w:rPr>
        <w:footnoteReference w:id="85"/>
      </w:r>
      <w:r w:rsidR="0049098E">
        <w:rPr>
          <w:noProof/>
          <w:szCs w:val="24"/>
        </w:rPr>
        <w:t>)</w:t>
      </w:r>
      <w:r w:rsidRPr="005645D9">
        <w:rPr>
          <w:noProof/>
          <w:szCs w:val="24"/>
        </w:rPr>
        <w:t xml:space="preserve"> now offer more detailed legal guidance</w:t>
      </w:r>
      <w:r w:rsidRPr="00C72DEB">
        <w:rPr>
          <w:noProof/>
          <w:szCs w:val="24"/>
        </w:rPr>
        <w:t xml:space="preserve"> (e.g. on the timing for submitting </w:t>
      </w:r>
      <w:r w:rsidR="00B10957">
        <w:rPr>
          <w:noProof/>
          <w:szCs w:val="24"/>
        </w:rPr>
        <w:t>Form</w:t>
      </w:r>
      <w:r w:rsidR="00DE5726">
        <w:rPr>
          <w:noProof/>
          <w:szCs w:val="24"/>
        </w:rPr>
        <w:t>s</w:t>
      </w:r>
      <w:r w:rsidR="00B10957">
        <w:rPr>
          <w:noProof/>
          <w:szCs w:val="24"/>
        </w:rPr>
        <w:t xml:space="preserve"> FS-PP</w:t>
      </w:r>
      <w:r w:rsidRPr="00C72DEB">
        <w:rPr>
          <w:noProof/>
          <w:szCs w:val="24"/>
        </w:rPr>
        <w:t xml:space="preserve"> in relation to the public procurement procedure at stake). </w:t>
      </w:r>
      <w:r w:rsidR="00B707AE">
        <w:rPr>
          <w:noProof/>
          <w:szCs w:val="24"/>
        </w:rPr>
        <w:t>The o</w:t>
      </w:r>
      <w:r w:rsidR="0049098E">
        <w:rPr>
          <w:noProof/>
          <w:szCs w:val="24"/>
        </w:rPr>
        <w:t>nline</w:t>
      </w:r>
      <w:r w:rsidR="0049098E" w:rsidRPr="00C72DEB">
        <w:rPr>
          <w:noProof/>
          <w:szCs w:val="24"/>
        </w:rPr>
        <w:t xml:space="preserve"> </w:t>
      </w:r>
      <w:r w:rsidR="001238DC">
        <w:rPr>
          <w:noProof/>
          <w:szCs w:val="24"/>
        </w:rPr>
        <w:t>‘</w:t>
      </w:r>
      <w:r w:rsidR="0049098E" w:rsidRPr="00081917">
        <w:rPr>
          <w:noProof/>
        </w:rPr>
        <w:t>Practical Information</w:t>
      </w:r>
      <w:r w:rsidR="001238DC">
        <w:rPr>
          <w:noProof/>
          <w:szCs w:val="24"/>
        </w:rPr>
        <w:t>’</w:t>
      </w:r>
      <w:r w:rsidR="00B707AE">
        <w:rPr>
          <w:noProof/>
          <w:szCs w:val="24"/>
        </w:rPr>
        <w:t xml:space="preserve"> section</w:t>
      </w:r>
      <w:r w:rsidRPr="00C72DEB">
        <w:rPr>
          <w:noProof/>
          <w:szCs w:val="24"/>
        </w:rPr>
        <w:t xml:space="preserve"> </w:t>
      </w:r>
      <w:r>
        <w:rPr>
          <w:noProof/>
          <w:szCs w:val="24"/>
        </w:rPr>
        <w:t>has</w:t>
      </w:r>
      <w:r w:rsidRPr="00C72DEB">
        <w:rPr>
          <w:noProof/>
          <w:szCs w:val="24"/>
        </w:rPr>
        <w:t xml:space="preserve"> been expanded since the beginning of this year to address recurring </w:t>
      </w:r>
      <w:r w:rsidR="000E628E" w:rsidRPr="00C72DEB">
        <w:rPr>
          <w:noProof/>
          <w:szCs w:val="24"/>
        </w:rPr>
        <w:t>stakeholders’</w:t>
      </w:r>
      <w:r w:rsidRPr="00C72DEB">
        <w:rPr>
          <w:noProof/>
          <w:szCs w:val="24"/>
        </w:rPr>
        <w:t xml:space="preserve"> questions. </w:t>
      </w:r>
    </w:p>
    <w:p w14:paraId="6C64EBED" w14:textId="6E982F19" w:rsidR="00C31F8E" w:rsidRDefault="00C31F8E" w:rsidP="00FF6589">
      <w:pPr>
        <w:rPr>
          <w:noProof/>
          <w:szCs w:val="24"/>
        </w:rPr>
      </w:pPr>
      <w:r>
        <w:rPr>
          <w:noProof/>
          <w:szCs w:val="24"/>
        </w:rPr>
        <w:t xml:space="preserve">In order to facilitate submissions, the Commission </w:t>
      </w:r>
      <w:r w:rsidR="00CD2426">
        <w:rPr>
          <w:noProof/>
          <w:szCs w:val="24"/>
        </w:rPr>
        <w:t xml:space="preserve">services </w:t>
      </w:r>
      <w:r>
        <w:rPr>
          <w:noProof/>
          <w:szCs w:val="24"/>
        </w:rPr>
        <w:t xml:space="preserve">developed a standardised online </w:t>
      </w:r>
      <w:r w:rsidR="00B10957">
        <w:rPr>
          <w:noProof/>
          <w:szCs w:val="24"/>
        </w:rPr>
        <w:t>Form FS-PP</w:t>
      </w:r>
      <w:r>
        <w:rPr>
          <w:noProof/>
          <w:szCs w:val="24"/>
        </w:rPr>
        <w:t xml:space="preserve"> that became available in all EU languages. It enables economic operators to fill out </w:t>
      </w:r>
      <w:r w:rsidR="00B10957">
        <w:rPr>
          <w:noProof/>
          <w:szCs w:val="24"/>
        </w:rPr>
        <w:t>Form FS-PP</w:t>
      </w:r>
      <w:r>
        <w:rPr>
          <w:noProof/>
          <w:szCs w:val="24"/>
        </w:rPr>
        <w:t xml:space="preserve"> online that respect all formal requirements while maintaining confidentiality of sensitive financial information.</w:t>
      </w:r>
    </w:p>
    <w:p w14:paraId="4106537E" w14:textId="5F53B3F0" w:rsidR="00782E80" w:rsidRDefault="00C31F8E" w:rsidP="00FF6589">
      <w:pPr>
        <w:rPr>
          <w:noProof/>
          <w:szCs w:val="24"/>
        </w:rPr>
      </w:pPr>
      <w:r>
        <w:rPr>
          <w:noProof/>
          <w:szCs w:val="24"/>
        </w:rPr>
        <w:t xml:space="preserve">Furthermore, </w:t>
      </w:r>
      <w:r w:rsidRPr="00E13258">
        <w:rPr>
          <w:noProof/>
          <w:szCs w:val="24"/>
        </w:rPr>
        <w:t xml:space="preserve">the Commission </w:t>
      </w:r>
      <w:r w:rsidR="00CD2426">
        <w:rPr>
          <w:noProof/>
          <w:szCs w:val="24"/>
        </w:rPr>
        <w:t>services</w:t>
      </w:r>
      <w:r w:rsidRPr="00E13258">
        <w:rPr>
          <w:noProof/>
          <w:szCs w:val="24"/>
        </w:rPr>
        <w:t xml:space="preserve"> has </w:t>
      </w:r>
      <w:r>
        <w:rPr>
          <w:noProof/>
          <w:szCs w:val="24"/>
        </w:rPr>
        <w:t xml:space="preserve">developed integrated and secure IT systems for case handling, while minimising the risk of data breaches. </w:t>
      </w:r>
      <w:r w:rsidRPr="008A2999">
        <w:rPr>
          <w:noProof/>
          <w:szCs w:val="24"/>
        </w:rPr>
        <w:t>Case@EC (</w:t>
      </w:r>
      <w:r w:rsidRPr="002B1BBE">
        <w:rPr>
          <w:noProof/>
          <w:szCs w:val="24"/>
        </w:rPr>
        <w:t xml:space="preserve">a comprehensive </w:t>
      </w:r>
      <w:r w:rsidRPr="008A2999">
        <w:rPr>
          <w:noProof/>
          <w:szCs w:val="24"/>
        </w:rPr>
        <w:t xml:space="preserve">case management </w:t>
      </w:r>
      <w:r w:rsidRPr="002B1BBE">
        <w:rPr>
          <w:noProof/>
          <w:szCs w:val="24"/>
        </w:rPr>
        <w:t>case management platform</w:t>
      </w:r>
      <w:r w:rsidRPr="008A2999">
        <w:rPr>
          <w:noProof/>
          <w:szCs w:val="24"/>
        </w:rPr>
        <w:t>) and EU SEND (</w:t>
      </w:r>
      <w:r>
        <w:rPr>
          <w:noProof/>
          <w:szCs w:val="24"/>
        </w:rPr>
        <w:t xml:space="preserve">a </w:t>
      </w:r>
      <w:r w:rsidRPr="008A2999">
        <w:rPr>
          <w:noProof/>
          <w:szCs w:val="24"/>
        </w:rPr>
        <w:t xml:space="preserve">secure messaging system </w:t>
      </w:r>
      <w:r>
        <w:rPr>
          <w:noProof/>
          <w:szCs w:val="24"/>
        </w:rPr>
        <w:t>for</w:t>
      </w:r>
      <w:r w:rsidRPr="008A2999">
        <w:rPr>
          <w:noProof/>
          <w:szCs w:val="24"/>
        </w:rPr>
        <w:t xml:space="preserve"> stakeholder</w:t>
      </w:r>
      <w:r>
        <w:rPr>
          <w:noProof/>
          <w:szCs w:val="24"/>
        </w:rPr>
        <w:t xml:space="preserve"> communication</w:t>
      </w:r>
      <w:r w:rsidRPr="008A2999">
        <w:rPr>
          <w:noProof/>
          <w:szCs w:val="24"/>
        </w:rPr>
        <w:t>)</w:t>
      </w:r>
      <w:r>
        <w:rPr>
          <w:noProof/>
          <w:szCs w:val="24"/>
        </w:rPr>
        <w:t xml:space="preserve"> are </w:t>
      </w:r>
      <w:r w:rsidRPr="008A2999">
        <w:rPr>
          <w:noProof/>
          <w:szCs w:val="24"/>
        </w:rPr>
        <w:t xml:space="preserve">designed to support </w:t>
      </w:r>
      <w:r>
        <w:rPr>
          <w:noProof/>
          <w:szCs w:val="24"/>
        </w:rPr>
        <w:t>smooth administrative handling. Both systems</w:t>
      </w:r>
      <w:r w:rsidRPr="008A2999">
        <w:rPr>
          <w:noProof/>
          <w:szCs w:val="24"/>
        </w:rPr>
        <w:t xml:space="preserve"> implement robust access controls, role-based permissions, and secure </w:t>
      </w:r>
      <w:r>
        <w:rPr>
          <w:noProof/>
          <w:szCs w:val="24"/>
        </w:rPr>
        <w:t xml:space="preserve">data </w:t>
      </w:r>
      <w:r w:rsidRPr="008A2999">
        <w:rPr>
          <w:noProof/>
          <w:szCs w:val="24"/>
        </w:rPr>
        <w:t>storage protocols</w:t>
      </w:r>
      <w:r>
        <w:rPr>
          <w:noProof/>
          <w:szCs w:val="24"/>
        </w:rPr>
        <w:t xml:space="preserve">, </w:t>
      </w:r>
      <w:r w:rsidRPr="00067AB8">
        <w:rPr>
          <w:noProof/>
          <w:szCs w:val="24"/>
        </w:rPr>
        <w:t>reinforcing the integrity, reliability, and security of the Commission</w:t>
      </w:r>
      <w:r w:rsidR="00CD2426">
        <w:rPr>
          <w:noProof/>
          <w:szCs w:val="24"/>
        </w:rPr>
        <w:t xml:space="preserve"> services</w:t>
      </w:r>
      <w:r w:rsidRPr="00067AB8">
        <w:rPr>
          <w:noProof/>
          <w:szCs w:val="24"/>
        </w:rPr>
        <w:t>’ operations</w:t>
      </w:r>
      <w:r w:rsidRPr="008A2999">
        <w:rPr>
          <w:noProof/>
          <w:szCs w:val="24"/>
        </w:rPr>
        <w:t>.</w:t>
      </w:r>
      <w:r w:rsidRPr="004755E8">
        <w:rPr>
          <w:noProof/>
          <w:szCs w:val="24"/>
        </w:rPr>
        <w:t xml:space="preserve"> </w:t>
      </w:r>
    </w:p>
    <w:p w14:paraId="60414FFB" w14:textId="77777777" w:rsidR="00C31F8E" w:rsidRPr="008A2999" w:rsidRDefault="00C31F8E" w:rsidP="00C31F8E">
      <w:pPr>
        <w:rPr>
          <w:noProof/>
        </w:rPr>
      </w:pPr>
      <w:r w:rsidRPr="00D243D6">
        <w:rPr>
          <w:noProof/>
          <w:szCs w:val="24"/>
        </w:rPr>
        <w:t>Taken together, these measures enhance transparency, facilitate compliance, reduce uncertainty, and enable</w:t>
      </w:r>
      <w:r>
        <w:rPr>
          <w:noProof/>
          <w:szCs w:val="24"/>
        </w:rPr>
        <w:t xml:space="preserve"> contracting authorities</w:t>
      </w:r>
      <w:r w:rsidRPr="00D243D6">
        <w:rPr>
          <w:noProof/>
          <w:szCs w:val="24"/>
        </w:rPr>
        <w:t xml:space="preserve"> and companies to manage procedures more efficiently while fulfilling their obligations under the Regulation.</w:t>
      </w:r>
    </w:p>
    <w:p w14:paraId="44A63616" w14:textId="77777777" w:rsidR="00C31F8E" w:rsidRDefault="00C31F8E" w:rsidP="00836900">
      <w:pPr>
        <w:pStyle w:val="Heading4"/>
        <w:rPr>
          <w:noProof/>
        </w:rPr>
      </w:pPr>
      <w:bookmarkStart w:id="140" w:name="_Toc228286505"/>
      <w:bookmarkStart w:id="141" w:name="_Toc234227878"/>
      <w:r>
        <w:rPr>
          <w:noProof/>
        </w:rPr>
        <w:t>Engagement of Member States in FSR enforcement</w:t>
      </w:r>
      <w:bookmarkEnd w:id="140"/>
      <w:bookmarkEnd w:id="141"/>
    </w:p>
    <w:p w14:paraId="3FCF0CD7" w14:textId="7D224354" w:rsidR="00771048" w:rsidRPr="00C72DEB" w:rsidRDefault="00771048" w:rsidP="00771048">
      <w:pPr>
        <w:rPr>
          <w:noProof/>
          <w:szCs w:val="24"/>
        </w:rPr>
      </w:pPr>
      <w:r w:rsidRPr="008A2999">
        <w:rPr>
          <w:noProof/>
          <w:szCs w:val="24"/>
        </w:rPr>
        <w:t xml:space="preserve">While the Commission </w:t>
      </w:r>
      <w:r>
        <w:rPr>
          <w:noProof/>
          <w:szCs w:val="24"/>
        </w:rPr>
        <w:t>is solely responsible for enforcing the FSR,</w:t>
      </w:r>
      <w:r w:rsidRPr="008A2999">
        <w:rPr>
          <w:noProof/>
          <w:szCs w:val="24"/>
        </w:rPr>
        <w:t xml:space="preserve"> it </w:t>
      </w:r>
      <w:r>
        <w:rPr>
          <w:noProof/>
          <w:szCs w:val="24"/>
        </w:rPr>
        <w:t>fostered</w:t>
      </w:r>
      <w:r w:rsidRPr="008A2999">
        <w:rPr>
          <w:noProof/>
          <w:szCs w:val="24"/>
        </w:rPr>
        <w:t xml:space="preserve"> a network of </w:t>
      </w:r>
      <w:r w:rsidR="008D68DF">
        <w:rPr>
          <w:noProof/>
          <w:szCs w:val="24"/>
        </w:rPr>
        <w:t>n</w:t>
      </w:r>
      <w:r w:rsidRPr="008A2999">
        <w:rPr>
          <w:noProof/>
          <w:szCs w:val="24"/>
        </w:rPr>
        <w:t xml:space="preserve">ational </w:t>
      </w:r>
      <w:r w:rsidR="008D68DF">
        <w:rPr>
          <w:noProof/>
          <w:szCs w:val="24"/>
        </w:rPr>
        <w:t>c</w:t>
      </w:r>
      <w:r w:rsidRPr="008A2999">
        <w:rPr>
          <w:noProof/>
          <w:szCs w:val="24"/>
        </w:rPr>
        <w:t xml:space="preserve">ontact </w:t>
      </w:r>
      <w:r w:rsidR="008D68DF">
        <w:rPr>
          <w:noProof/>
          <w:szCs w:val="24"/>
        </w:rPr>
        <w:t>p</w:t>
      </w:r>
      <w:r w:rsidRPr="008A2999">
        <w:rPr>
          <w:noProof/>
          <w:szCs w:val="24"/>
        </w:rPr>
        <w:t>oints (</w:t>
      </w:r>
      <w:r w:rsidR="001238DC">
        <w:rPr>
          <w:noProof/>
          <w:szCs w:val="24"/>
        </w:rPr>
        <w:t>‘</w:t>
      </w:r>
      <w:r w:rsidRPr="008A2999">
        <w:rPr>
          <w:noProof/>
          <w:szCs w:val="24"/>
        </w:rPr>
        <w:t>NCPs</w:t>
      </w:r>
      <w:r w:rsidR="001238DC">
        <w:rPr>
          <w:noProof/>
          <w:szCs w:val="24"/>
        </w:rPr>
        <w:t>’</w:t>
      </w:r>
      <w:r w:rsidRPr="008A2999">
        <w:rPr>
          <w:noProof/>
          <w:szCs w:val="24"/>
        </w:rPr>
        <w:t xml:space="preserve">) to facilitate dialogue with Member States, in line with </w:t>
      </w:r>
      <w:r w:rsidR="00F040DB" w:rsidRPr="008A2999">
        <w:rPr>
          <w:noProof/>
          <w:szCs w:val="24"/>
        </w:rPr>
        <w:t>Recital</w:t>
      </w:r>
      <w:r w:rsidR="00F040DB">
        <w:rPr>
          <w:noProof/>
          <w:szCs w:val="24"/>
        </w:rPr>
        <w:t> </w:t>
      </w:r>
      <w:r w:rsidRPr="008A2999">
        <w:rPr>
          <w:noProof/>
          <w:szCs w:val="24"/>
        </w:rPr>
        <w:t xml:space="preserve">58 </w:t>
      </w:r>
      <w:r>
        <w:rPr>
          <w:noProof/>
          <w:szCs w:val="24"/>
        </w:rPr>
        <w:t xml:space="preserve">FSR. </w:t>
      </w:r>
      <w:r w:rsidRPr="00C72DEB">
        <w:rPr>
          <w:noProof/>
          <w:szCs w:val="24"/>
        </w:rPr>
        <w:t xml:space="preserve">NCPs act as the primary interface between the Commission and </w:t>
      </w:r>
      <w:r>
        <w:rPr>
          <w:noProof/>
          <w:szCs w:val="24"/>
        </w:rPr>
        <w:t xml:space="preserve">contracting authorities, </w:t>
      </w:r>
      <w:r w:rsidRPr="00C72DEB">
        <w:rPr>
          <w:noProof/>
          <w:szCs w:val="24"/>
        </w:rPr>
        <w:t>serving both as multipliers of information and as channels for feedback to the Commission. </w:t>
      </w:r>
    </w:p>
    <w:p w14:paraId="052C7225" w14:textId="267DF417" w:rsidR="00771048" w:rsidRPr="00C72DEB" w:rsidDel="00D73A63" w:rsidRDefault="00771048" w:rsidP="00771048">
      <w:pPr>
        <w:rPr>
          <w:noProof/>
          <w:szCs w:val="24"/>
        </w:rPr>
      </w:pPr>
      <w:r w:rsidRPr="00C72DEB">
        <w:rPr>
          <w:noProof/>
          <w:szCs w:val="24"/>
        </w:rPr>
        <w:t xml:space="preserve">Member States appointed </w:t>
      </w:r>
      <w:r w:rsidR="008D68DF">
        <w:rPr>
          <w:noProof/>
          <w:szCs w:val="24"/>
        </w:rPr>
        <w:t>NCPs</w:t>
      </w:r>
      <w:r w:rsidRPr="00C72DEB">
        <w:rPr>
          <w:noProof/>
          <w:szCs w:val="24"/>
        </w:rPr>
        <w:t xml:space="preserve"> in 2023. DG GROW and DG COMP convened </w:t>
      </w:r>
      <w:r>
        <w:rPr>
          <w:noProof/>
          <w:szCs w:val="24"/>
        </w:rPr>
        <w:t>two</w:t>
      </w:r>
      <w:r w:rsidRPr="00C72DEB">
        <w:rPr>
          <w:noProof/>
          <w:szCs w:val="24"/>
        </w:rPr>
        <w:t xml:space="preserve"> joint online meetings, on 24</w:t>
      </w:r>
      <w:r w:rsidRPr="008A2999">
        <w:rPr>
          <w:noProof/>
          <w:szCs w:val="24"/>
        </w:rPr>
        <w:t xml:space="preserve"> January </w:t>
      </w:r>
      <w:r w:rsidRPr="00C72DEB">
        <w:rPr>
          <w:noProof/>
          <w:szCs w:val="24"/>
        </w:rPr>
        <w:t>2024 and on 16</w:t>
      </w:r>
      <w:r w:rsidRPr="008A2999">
        <w:rPr>
          <w:noProof/>
          <w:szCs w:val="24"/>
        </w:rPr>
        <w:t xml:space="preserve"> December </w:t>
      </w:r>
      <w:r w:rsidRPr="00C72DEB">
        <w:rPr>
          <w:noProof/>
          <w:szCs w:val="24"/>
        </w:rPr>
        <w:t xml:space="preserve">2024, ensuring coordinated expertise across the public procurement and concentrations modules. </w:t>
      </w:r>
    </w:p>
    <w:p w14:paraId="7C312E5C" w14:textId="1ED4DFF7" w:rsidR="00C31F8E" w:rsidRPr="00C72DEB" w:rsidRDefault="00C31F8E" w:rsidP="00C31F8E">
      <w:pPr>
        <w:spacing w:after="240"/>
        <w:rPr>
          <w:noProof/>
          <w:szCs w:val="24"/>
        </w:rPr>
      </w:pPr>
      <w:r>
        <w:rPr>
          <w:noProof/>
          <w:szCs w:val="24"/>
        </w:rPr>
        <w:t xml:space="preserve">Building on cooperation with the NCPs and with a view to </w:t>
      </w:r>
      <w:r w:rsidRPr="008A2999">
        <w:rPr>
          <w:noProof/>
          <w:szCs w:val="24"/>
        </w:rPr>
        <w:t xml:space="preserve">further </w:t>
      </w:r>
      <w:r>
        <w:rPr>
          <w:noProof/>
          <w:szCs w:val="24"/>
        </w:rPr>
        <w:t>consolidating coordination</w:t>
      </w:r>
      <w:r w:rsidRPr="008A2999">
        <w:rPr>
          <w:noProof/>
          <w:szCs w:val="24"/>
        </w:rPr>
        <w:t xml:space="preserve"> on FSR</w:t>
      </w:r>
      <w:r w:rsidRPr="00C72DEB">
        <w:rPr>
          <w:noProof/>
          <w:szCs w:val="24"/>
        </w:rPr>
        <w:t>-</w:t>
      </w:r>
      <w:r w:rsidR="008D68DF">
        <w:rPr>
          <w:noProof/>
          <w:szCs w:val="24"/>
        </w:rPr>
        <w:t>p</w:t>
      </w:r>
      <w:r w:rsidRPr="00C72DEB">
        <w:rPr>
          <w:noProof/>
          <w:szCs w:val="24"/>
        </w:rPr>
        <w:t xml:space="preserve">ublic </w:t>
      </w:r>
      <w:r w:rsidR="008D68DF">
        <w:rPr>
          <w:noProof/>
          <w:szCs w:val="24"/>
        </w:rPr>
        <w:t>p</w:t>
      </w:r>
      <w:r w:rsidRPr="00C72DEB">
        <w:rPr>
          <w:noProof/>
          <w:szCs w:val="24"/>
        </w:rPr>
        <w:t>rocurement</w:t>
      </w:r>
      <w:r w:rsidRPr="008A2999">
        <w:rPr>
          <w:noProof/>
          <w:szCs w:val="24"/>
        </w:rPr>
        <w:t xml:space="preserve">, </w:t>
      </w:r>
      <w:r>
        <w:rPr>
          <w:noProof/>
          <w:szCs w:val="24"/>
        </w:rPr>
        <w:t>the Commission</w:t>
      </w:r>
      <w:r w:rsidRPr="008A2999">
        <w:rPr>
          <w:noProof/>
          <w:szCs w:val="24"/>
        </w:rPr>
        <w:t xml:space="preserve"> </w:t>
      </w:r>
      <w:r w:rsidR="008D68DF">
        <w:rPr>
          <w:noProof/>
          <w:szCs w:val="24"/>
        </w:rPr>
        <w:t>went on to set up</w:t>
      </w:r>
      <w:r w:rsidRPr="008A2999">
        <w:rPr>
          <w:noProof/>
          <w:szCs w:val="24"/>
        </w:rPr>
        <w:t xml:space="preserve"> a dedicated </w:t>
      </w:r>
      <w:r w:rsidRPr="00C72DEB">
        <w:rPr>
          <w:noProof/>
          <w:szCs w:val="24"/>
        </w:rPr>
        <w:t>Expert Group</w:t>
      </w:r>
      <w:r w:rsidR="00230AD6" w:rsidRPr="00230AD6">
        <w:rPr>
          <w:noProof/>
          <w:szCs w:val="24"/>
        </w:rPr>
        <w:t> (</w:t>
      </w:r>
      <w:r>
        <w:rPr>
          <w:rStyle w:val="FootnoteReference"/>
          <w:noProof/>
          <w:szCs w:val="24"/>
        </w:rPr>
        <w:footnoteReference w:id="86"/>
      </w:r>
      <w:r w:rsidR="00230AD6">
        <w:rPr>
          <w:noProof/>
          <w:szCs w:val="24"/>
        </w:rPr>
        <w:t>)</w:t>
      </w:r>
      <w:r w:rsidRPr="008A2999">
        <w:rPr>
          <w:noProof/>
          <w:szCs w:val="24"/>
        </w:rPr>
        <w:t xml:space="preserve"> in December 2025</w:t>
      </w:r>
      <w:r>
        <w:rPr>
          <w:noProof/>
          <w:szCs w:val="24"/>
        </w:rPr>
        <w:t>. Bringing together these NCPs, this forum underpins the primary role of Member States to provide guidance and expertise in the Regulation’s implementation, while</w:t>
      </w:r>
      <w:r w:rsidRPr="008A2999">
        <w:rPr>
          <w:noProof/>
          <w:szCs w:val="24"/>
        </w:rPr>
        <w:t xml:space="preserve"> k</w:t>
      </w:r>
      <w:r w:rsidRPr="00C72DEB">
        <w:rPr>
          <w:noProof/>
          <w:szCs w:val="24"/>
        </w:rPr>
        <w:t>eep</w:t>
      </w:r>
      <w:r w:rsidRPr="008A2999">
        <w:rPr>
          <w:noProof/>
          <w:szCs w:val="24"/>
        </w:rPr>
        <w:t>ing the</w:t>
      </w:r>
      <w:r>
        <w:rPr>
          <w:noProof/>
          <w:szCs w:val="24"/>
        </w:rPr>
        <w:t>m</w:t>
      </w:r>
      <w:r w:rsidRPr="008A2999">
        <w:rPr>
          <w:noProof/>
          <w:szCs w:val="24"/>
        </w:rPr>
        <w:t xml:space="preserve"> </w:t>
      </w:r>
      <w:r w:rsidRPr="00C72DEB">
        <w:rPr>
          <w:noProof/>
          <w:szCs w:val="24"/>
        </w:rPr>
        <w:t>regularly informed, fostering a shared understanding of the legal framework</w:t>
      </w:r>
      <w:r w:rsidRPr="008A2999">
        <w:rPr>
          <w:noProof/>
          <w:szCs w:val="24"/>
        </w:rPr>
        <w:t xml:space="preserve">, </w:t>
      </w:r>
      <w:r>
        <w:rPr>
          <w:noProof/>
          <w:szCs w:val="24"/>
        </w:rPr>
        <w:t xml:space="preserve">and </w:t>
      </w:r>
      <w:r w:rsidRPr="008A2999">
        <w:rPr>
          <w:noProof/>
          <w:szCs w:val="24"/>
        </w:rPr>
        <w:t>f</w:t>
      </w:r>
      <w:r w:rsidRPr="00C72DEB">
        <w:rPr>
          <w:noProof/>
          <w:szCs w:val="24"/>
        </w:rPr>
        <w:t>acilitat</w:t>
      </w:r>
      <w:r w:rsidRPr="008A2999">
        <w:rPr>
          <w:noProof/>
          <w:szCs w:val="24"/>
        </w:rPr>
        <w:t>ing</w:t>
      </w:r>
      <w:r w:rsidRPr="00C72DEB">
        <w:rPr>
          <w:noProof/>
          <w:szCs w:val="24"/>
        </w:rPr>
        <w:t xml:space="preserve"> dialogue on enforcement</w:t>
      </w:r>
      <w:r w:rsidRPr="008A2999">
        <w:rPr>
          <w:noProof/>
          <w:szCs w:val="24"/>
        </w:rPr>
        <w:t>.</w:t>
      </w:r>
      <w:r w:rsidRPr="008A2999">
        <w:rPr>
          <w:b/>
          <w:bCs/>
          <w:noProof/>
          <w:szCs w:val="24"/>
        </w:rPr>
        <w:t xml:space="preserve"> </w:t>
      </w:r>
      <w:r w:rsidRPr="008A2999">
        <w:rPr>
          <w:noProof/>
          <w:szCs w:val="24"/>
        </w:rPr>
        <w:t>The Expert Group</w:t>
      </w:r>
      <w:r w:rsidRPr="00C72DEB">
        <w:rPr>
          <w:noProof/>
          <w:szCs w:val="24"/>
        </w:rPr>
        <w:t xml:space="preserve"> </w:t>
      </w:r>
      <w:r>
        <w:rPr>
          <w:noProof/>
          <w:szCs w:val="24"/>
        </w:rPr>
        <w:t>also functions as a platform to harmonise</w:t>
      </w:r>
      <w:r w:rsidRPr="00C72DEB">
        <w:rPr>
          <w:noProof/>
          <w:szCs w:val="24"/>
        </w:rPr>
        <w:t xml:space="preserve"> </w:t>
      </w:r>
      <w:r w:rsidR="008D68DF">
        <w:rPr>
          <w:noProof/>
          <w:szCs w:val="24"/>
        </w:rPr>
        <w:t xml:space="preserve">different </w:t>
      </w:r>
      <w:r w:rsidRPr="00C72DEB">
        <w:rPr>
          <w:noProof/>
          <w:szCs w:val="24"/>
        </w:rPr>
        <w:t>practices</w:t>
      </w:r>
      <w:r>
        <w:rPr>
          <w:noProof/>
          <w:szCs w:val="24"/>
        </w:rPr>
        <w:t>,</w:t>
      </w:r>
      <w:r w:rsidRPr="00C72DEB">
        <w:rPr>
          <w:noProof/>
          <w:szCs w:val="24"/>
        </w:rPr>
        <w:t xml:space="preserve"> by offering practical insights and identifying gaps or areas </w:t>
      </w:r>
      <w:r>
        <w:rPr>
          <w:noProof/>
          <w:szCs w:val="24"/>
        </w:rPr>
        <w:t>in need of</w:t>
      </w:r>
      <w:r w:rsidRPr="00C72DEB">
        <w:rPr>
          <w:noProof/>
          <w:szCs w:val="24"/>
        </w:rPr>
        <w:t xml:space="preserve"> clarification. </w:t>
      </w:r>
      <w:r>
        <w:rPr>
          <w:noProof/>
          <w:szCs w:val="24"/>
        </w:rPr>
        <w:t>It contributes to</w:t>
      </w:r>
      <w:r w:rsidRPr="00C72DEB">
        <w:rPr>
          <w:noProof/>
          <w:szCs w:val="24"/>
        </w:rPr>
        <w:t xml:space="preserve"> </w:t>
      </w:r>
      <w:r w:rsidRPr="008A2999">
        <w:rPr>
          <w:noProof/>
          <w:szCs w:val="24"/>
        </w:rPr>
        <w:t>e</w:t>
      </w:r>
      <w:r w:rsidRPr="00C72DEB">
        <w:rPr>
          <w:noProof/>
          <w:szCs w:val="24"/>
        </w:rPr>
        <w:t>nhanc</w:t>
      </w:r>
      <w:r w:rsidR="008D68DF">
        <w:rPr>
          <w:noProof/>
          <w:szCs w:val="24"/>
        </w:rPr>
        <w:t>ing</w:t>
      </w:r>
      <w:r w:rsidRPr="00C72DEB">
        <w:rPr>
          <w:noProof/>
          <w:szCs w:val="24"/>
        </w:rPr>
        <w:t xml:space="preserve"> compliance by embedding the </w:t>
      </w:r>
      <w:r>
        <w:rPr>
          <w:noProof/>
          <w:szCs w:val="24"/>
        </w:rPr>
        <w:t>FSR</w:t>
      </w:r>
      <w:r w:rsidRPr="00C72DEB">
        <w:rPr>
          <w:noProof/>
          <w:szCs w:val="24"/>
        </w:rPr>
        <w:t xml:space="preserve"> in national procurement practices</w:t>
      </w:r>
      <w:r w:rsidR="008D68DF">
        <w:rPr>
          <w:noProof/>
          <w:szCs w:val="24"/>
        </w:rPr>
        <w:t>, as well as</w:t>
      </w:r>
      <w:r w:rsidRPr="00C72DEB">
        <w:rPr>
          <w:noProof/>
          <w:szCs w:val="24"/>
        </w:rPr>
        <w:t xml:space="preserve"> </w:t>
      </w:r>
      <w:r w:rsidR="008D68DF">
        <w:rPr>
          <w:noProof/>
          <w:szCs w:val="24"/>
        </w:rPr>
        <w:t>raising</w:t>
      </w:r>
      <w:r w:rsidRPr="00C72DEB">
        <w:rPr>
          <w:noProof/>
          <w:szCs w:val="24"/>
        </w:rPr>
        <w:t xml:space="preserve"> awareness among public bodies. </w:t>
      </w:r>
    </w:p>
    <w:p w14:paraId="05CC7A02" w14:textId="0DB97BC7" w:rsidR="00C31F8E" w:rsidRPr="0030129F" w:rsidRDefault="00C31F8E" w:rsidP="00C31F8E">
      <w:pPr>
        <w:spacing w:after="240"/>
        <w:rPr>
          <w:noProof/>
          <w:szCs w:val="24"/>
        </w:rPr>
      </w:pPr>
      <w:r w:rsidRPr="008A2999">
        <w:rPr>
          <w:noProof/>
          <w:szCs w:val="24"/>
        </w:rPr>
        <w:t xml:space="preserve">To </w:t>
      </w:r>
      <w:r w:rsidR="00560ACE">
        <w:rPr>
          <w:noProof/>
          <w:szCs w:val="24"/>
        </w:rPr>
        <w:t>draw on the expertise of</w:t>
      </w:r>
      <w:r w:rsidR="00560ACE" w:rsidRPr="008A2999">
        <w:rPr>
          <w:noProof/>
          <w:szCs w:val="24"/>
        </w:rPr>
        <w:t xml:space="preserve"> </w:t>
      </w:r>
      <w:r>
        <w:rPr>
          <w:noProof/>
          <w:szCs w:val="24"/>
        </w:rPr>
        <w:t>the Expert Group on</w:t>
      </w:r>
      <w:r w:rsidRPr="008A2999">
        <w:rPr>
          <w:noProof/>
          <w:szCs w:val="24"/>
        </w:rPr>
        <w:t xml:space="preserve"> FSR-Public Procurement, </w:t>
      </w:r>
      <w:r>
        <w:rPr>
          <w:noProof/>
          <w:szCs w:val="24"/>
        </w:rPr>
        <w:t>the Commission</w:t>
      </w:r>
      <w:r w:rsidRPr="008A2999">
        <w:rPr>
          <w:noProof/>
          <w:szCs w:val="24"/>
        </w:rPr>
        <w:t xml:space="preserve"> </w:t>
      </w:r>
      <w:r>
        <w:rPr>
          <w:noProof/>
          <w:szCs w:val="24"/>
        </w:rPr>
        <w:t>holds two meetings per year</w:t>
      </w:r>
      <w:r w:rsidRPr="002A6D58">
        <w:rPr>
          <w:noProof/>
          <w:szCs w:val="24"/>
        </w:rPr>
        <w:t>,</w:t>
      </w:r>
      <w:r w:rsidRPr="00C72DEB">
        <w:rPr>
          <w:noProof/>
          <w:szCs w:val="24"/>
        </w:rPr>
        <w:t xml:space="preserve"> </w:t>
      </w:r>
      <w:r w:rsidRPr="00E176A0">
        <w:rPr>
          <w:noProof/>
          <w:szCs w:val="24"/>
        </w:rPr>
        <w:t>one in person and one online six months later</w:t>
      </w:r>
      <w:r w:rsidRPr="008A2999">
        <w:rPr>
          <w:noProof/>
          <w:szCs w:val="24"/>
        </w:rPr>
        <w:t>.</w:t>
      </w:r>
      <w:r>
        <w:rPr>
          <w:noProof/>
          <w:szCs w:val="24"/>
        </w:rPr>
        <w:t xml:space="preserve"> </w:t>
      </w:r>
      <w:r w:rsidRPr="008A2999">
        <w:rPr>
          <w:noProof/>
          <w:szCs w:val="24"/>
        </w:rPr>
        <w:t xml:space="preserve">The first one took place on 19 January 2026, and the second one is scheduled </w:t>
      </w:r>
      <w:r>
        <w:rPr>
          <w:noProof/>
          <w:szCs w:val="24"/>
        </w:rPr>
        <w:t>for</w:t>
      </w:r>
      <w:r w:rsidRPr="008A2999">
        <w:rPr>
          <w:noProof/>
          <w:szCs w:val="24"/>
        </w:rPr>
        <w:t xml:space="preserve"> June 2026. </w:t>
      </w:r>
    </w:p>
    <w:p w14:paraId="10715880" w14:textId="1CC5489E" w:rsidR="00C31F8E" w:rsidRDefault="00670BFF" w:rsidP="00836900">
      <w:pPr>
        <w:pStyle w:val="Heading4"/>
        <w:rPr>
          <w:noProof/>
        </w:rPr>
      </w:pPr>
      <w:bookmarkStart w:id="142" w:name="_Toc228286506"/>
      <w:bookmarkStart w:id="143" w:name="_Ref233984244"/>
      <w:bookmarkStart w:id="144" w:name="_Ref233984246"/>
      <w:bookmarkStart w:id="145" w:name="_Ref233984266"/>
      <w:bookmarkStart w:id="146" w:name="_Toc234227879"/>
      <w:r>
        <w:rPr>
          <w:noProof/>
        </w:rPr>
        <w:t>Feedback from</w:t>
      </w:r>
      <w:r w:rsidR="00C31F8E">
        <w:rPr>
          <w:noProof/>
        </w:rPr>
        <w:t xml:space="preserve"> </w:t>
      </w:r>
      <w:r w:rsidR="00C31F8E" w:rsidRPr="00861748">
        <w:rPr>
          <w:noProof/>
        </w:rPr>
        <w:t>stakeholders</w:t>
      </w:r>
      <w:bookmarkEnd w:id="142"/>
      <w:bookmarkEnd w:id="143"/>
      <w:bookmarkEnd w:id="144"/>
      <w:bookmarkEnd w:id="145"/>
      <w:bookmarkEnd w:id="146"/>
    </w:p>
    <w:p w14:paraId="675CDBB2" w14:textId="673D6301" w:rsidR="00C31F8E" w:rsidRDefault="00C92BED" w:rsidP="00C31F8E">
      <w:pPr>
        <w:pStyle w:val="Text2"/>
        <w:ind w:left="0"/>
        <w:rPr>
          <w:noProof/>
          <w:color w:val="000000" w:themeColor="text1"/>
        </w:rPr>
      </w:pPr>
      <w:r>
        <w:rPr>
          <w:noProof/>
          <w:color w:val="000000" w:themeColor="text1"/>
        </w:rPr>
        <w:t>In the context of the public consultation, s</w:t>
      </w:r>
      <w:r w:rsidR="00C31F8E" w:rsidRPr="00332D02">
        <w:rPr>
          <w:noProof/>
          <w:color w:val="000000" w:themeColor="text1"/>
        </w:rPr>
        <w:t xml:space="preserve">takeholders generally </w:t>
      </w:r>
      <w:r w:rsidR="00C31F8E">
        <w:rPr>
          <w:noProof/>
          <w:color w:val="000000" w:themeColor="text1"/>
        </w:rPr>
        <w:t>agree with the importance of the no</w:t>
      </w:r>
      <w:r w:rsidR="00C31F8E" w:rsidRPr="00332D02">
        <w:rPr>
          <w:noProof/>
          <w:color w:val="000000" w:themeColor="text1"/>
        </w:rPr>
        <w:t xml:space="preserve">tification system for public procurement procedures, noting that it enables the Commission </w:t>
      </w:r>
      <w:r w:rsidR="00CD2426">
        <w:rPr>
          <w:noProof/>
          <w:color w:val="000000" w:themeColor="text1"/>
        </w:rPr>
        <w:t xml:space="preserve">services </w:t>
      </w:r>
      <w:r w:rsidR="00C31F8E" w:rsidRPr="00332D02">
        <w:rPr>
          <w:noProof/>
          <w:color w:val="000000" w:themeColor="text1"/>
        </w:rPr>
        <w:t>to effectively identify and address potentially distortive foreign subsidies in the context of large</w:t>
      </w:r>
      <w:r w:rsidR="00C31F8E">
        <w:rPr>
          <w:noProof/>
          <w:color w:val="000000" w:themeColor="text1"/>
        </w:rPr>
        <w:t xml:space="preserve"> public procurement procedures</w:t>
      </w:r>
      <w:r w:rsidR="00C31F8E" w:rsidRPr="00332D02">
        <w:rPr>
          <w:noProof/>
          <w:color w:val="000000" w:themeColor="text1"/>
        </w:rPr>
        <w:t>. At the same time, respondents emphasi</w:t>
      </w:r>
      <w:r w:rsidR="00C31F8E">
        <w:rPr>
          <w:noProof/>
          <w:color w:val="000000" w:themeColor="text1"/>
        </w:rPr>
        <w:t>s</w:t>
      </w:r>
      <w:r w:rsidR="00C31F8E" w:rsidRPr="00332D02">
        <w:rPr>
          <w:noProof/>
          <w:color w:val="000000" w:themeColor="text1"/>
        </w:rPr>
        <w:t xml:space="preserve">e that the current notification and declaration reporting </w:t>
      </w:r>
      <w:r w:rsidR="007C51AC">
        <w:rPr>
          <w:noProof/>
          <w:color w:val="000000" w:themeColor="text1"/>
        </w:rPr>
        <w:t xml:space="preserve">system </w:t>
      </w:r>
      <w:r w:rsidR="00C31F8E" w:rsidRPr="00332D02">
        <w:rPr>
          <w:noProof/>
          <w:color w:val="000000" w:themeColor="text1"/>
        </w:rPr>
        <w:t>generates an administrative burden for bidding economic operators that is perceived as disproportionate vis-à-vis the risk of distortion identified so far in the internal market.</w:t>
      </w:r>
    </w:p>
    <w:p w14:paraId="70653A84" w14:textId="650F34EA" w:rsidR="00C31F8E" w:rsidRPr="00C03780" w:rsidRDefault="00C31F8E" w:rsidP="00B641E5">
      <w:pPr>
        <w:pStyle w:val="ListNumberLevel2"/>
        <w:keepNext/>
        <w:rPr>
          <w:i/>
          <w:iCs/>
          <w:noProof/>
        </w:rPr>
      </w:pPr>
      <w:r w:rsidRPr="00C03780">
        <w:rPr>
          <w:i/>
          <w:iCs/>
          <w:noProof/>
        </w:rPr>
        <w:t>Positive aspects identified by stakeholders</w:t>
      </w:r>
    </w:p>
    <w:p w14:paraId="7E9C6127" w14:textId="5946E782" w:rsidR="00A30804" w:rsidRDefault="00C31F8E" w:rsidP="00B641E5">
      <w:pPr>
        <w:pStyle w:val="Text2"/>
        <w:keepNext/>
        <w:ind w:left="0"/>
        <w:rPr>
          <w:noProof/>
          <w:color w:val="000000" w:themeColor="text1"/>
        </w:rPr>
      </w:pPr>
      <w:r w:rsidRPr="00296C76">
        <w:rPr>
          <w:noProof/>
          <w:color w:val="000000" w:themeColor="text1"/>
        </w:rPr>
        <w:t>Stakeholders</w:t>
      </w:r>
      <w:r w:rsidRPr="00D645F7">
        <w:rPr>
          <w:noProof/>
          <w:color w:val="000000" w:themeColor="text1"/>
        </w:rPr>
        <w:t xml:space="preserve"> from the international trade in services sector</w:t>
      </w:r>
      <w:r w:rsidRPr="63C19977">
        <w:rPr>
          <w:noProof/>
          <w:color w:val="000000" w:themeColor="text1"/>
        </w:rPr>
        <w:t>,</w:t>
      </w:r>
      <w:r w:rsidRPr="00D645F7">
        <w:rPr>
          <w:noProof/>
          <w:color w:val="000000" w:themeColor="text1"/>
        </w:rPr>
        <w:t xml:space="preserve"> emphasi</w:t>
      </w:r>
      <w:r>
        <w:rPr>
          <w:noProof/>
          <w:color w:val="000000" w:themeColor="text1"/>
        </w:rPr>
        <w:t>s</w:t>
      </w:r>
      <w:r w:rsidRPr="00D645F7">
        <w:rPr>
          <w:noProof/>
          <w:color w:val="000000" w:themeColor="text1"/>
        </w:rPr>
        <w:t xml:space="preserve">ed the </w:t>
      </w:r>
      <w:r>
        <w:rPr>
          <w:noProof/>
          <w:color w:val="000000" w:themeColor="text1"/>
        </w:rPr>
        <w:t>value</w:t>
      </w:r>
      <w:r w:rsidRPr="00D645F7">
        <w:rPr>
          <w:noProof/>
          <w:color w:val="000000" w:themeColor="text1"/>
        </w:rPr>
        <w:t xml:space="preserve"> of regular interaction, viewing it as a</w:t>
      </w:r>
      <w:r>
        <w:rPr>
          <w:noProof/>
          <w:color w:val="000000" w:themeColor="text1"/>
        </w:rPr>
        <w:t>n important</w:t>
      </w:r>
      <w:r w:rsidRPr="00D645F7">
        <w:rPr>
          <w:noProof/>
          <w:color w:val="000000" w:themeColor="text1"/>
        </w:rPr>
        <w:t xml:space="preserve"> link between the Commission and the private sector. Within the industrial landscape, </w:t>
      </w:r>
      <w:r>
        <w:rPr>
          <w:noProof/>
          <w:color w:val="000000" w:themeColor="text1"/>
        </w:rPr>
        <w:t xml:space="preserve">several </w:t>
      </w:r>
      <w:r w:rsidRPr="00D645F7">
        <w:rPr>
          <w:noProof/>
          <w:color w:val="000000" w:themeColor="text1"/>
        </w:rPr>
        <w:t>trade associations</w:t>
      </w:r>
      <w:r w:rsidRPr="63C19977">
        <w:rPr>
          <w:noProof/>
          <w:color w:val="000000" w:themeColor="text1"/>
        </w:rPr>
        <w:t xml:space="preserve"> </w:t>
      </w:r>
      <w:r w:rsidRPr="00D645F7">
        <w:rPr>
          <w:noProof/>
          <w:color w:val="000000" w:themeColor="text1"/>
        </w:rPr>
        <w:t xml:space="preserve">have been particularly </w:t>
      </w:r>
      <w:r>
        <w:rPr>
          <w:noProof/>
          <w:color w:val="000000" w:themeColor="text1"/>
        </w:rPr>
        <w:t xml:space="preserve">positive about the overall objectives of </w:t>
      </w:r>
      <w:r w:rsidR="00A30804">
        <w:rPr>
          <w:noProof/>
          <w:color w:val="000000" w:themeColor="text1"/>
        </w:rPr>
        <w:t xml:space="preserve">the public procurement module of </w:t>
      </w:r>
      <w:r>
        <w:rPr>
          <w:noProof/>
          <w:color w:val="000000" w:themeColor="text1"/>
        </w:rPr>
        <w:t>FSR</w:t>
      </w:r>
      <w:r w:rsidRPr="00D645F7">
        <w:rPr>
          <w:noProof/>
          <w:color w:val="000000" w:themeColor="text1"/>
        </w:rPr>
        <w:t>, describing</w:t>
      </w:r>
      <w:r>
        <w:rPr>
          <w:noProof/>
          <w:color w:val="000000" w:themeColor="text1"/>
        </w:rPr>
        <w:t xml:space="preserve"> it</w:t>
      </w:r>
      <w:r w:rsidRPr="00D645F7">
        <w:rPr>
          <w:noProof/>
          <w:color w:val="000000" w:themeColor="text1"/>
        </w:rPr>
        <w:t xml:space="preserve"> as a </w:t>
      </w:r>
      <w:r>
        <w:rPr>
          <w:noProof/>
          <w:color w:val="000000" w:themeColor="text1"/>
        </w:rPr>
        <w:t>‘</w:t>
      </w:r>
      <w:r w:rsidRPr="00D645F7">
        <w:rPr>
          <w:noProof/>
          <w:color w:val="000000" w:themeColor="text1"/>
        </w:rPr>
        <w:t>key tool</w:t>
      </w:r>
      <w:r>
        <w:rPr>
          <w:noProof/>
          <w:color w:val="000000" w:themeColor="text1"/>
        </w:rPr>
        <w:t>’</w:t>
      </w:r>
      <w:r w:rsidRPr="00D645F7">
        <w:rPr>
          <w:noProof/>
          <w:color w:val="000000" w:themeColor="text1"/>
        </w:rPr>
        <w:t xml:space="preserve"> for ensuring a level playing field within the EU procurement market. These associations </w:t>
      </w:r>
      <w:r>
        <w:rPr>
          <w:noProof/>
          <w:color w:val="000000" w:themeColor="text1"/>
        </w:rPr>
        <w:t>acknowledged</w:t>
      </w:r>
      <w:r w:rsidRPr="00D645F7">
        <w:rPr>
          <w:noProof/>
          <w:color w:val="000000" w:themeColor="text1"/>
        </w:rPr>
        <w:t xml:space="preserve"> the legitimacy and clarity of the public procurement module </w:t>
      </w:r>
      <w:r>
        <w:rPr>
          <w:noProof/>
          <w:color w:val="000000" w:themeColor="text1"/>
        </w:rPr>
        <w:t>and commended</w:t>
      </w:r>
      <w:r w:rsidRPr="00D645F7">
        <w:rPr>
          <w:noProof/>
          <w:color w:val="000000" w:themeColor="text1"/>
        </w:rPr>
        <w:t xml:space="preserve"> the Commission’s efficiency. </w:t>
      </w:r>
    </w:p>
    <w:p w14:paraId="7682C7A5" w14:textId="0AD1DAA1" w:rsidR="00C31F8E" w:rsidRDefault="00C31F8E" w:rsidP="00C31F8E">
      <w:pPr>
        <w:pStyle w:val="Text2"/>
        <w:ind w:left="0"/>
        <w:rPr>
          <w:noProof/>
          <w:color w:val="000000" w:themeColor="text1"/>
        </w:rPr>
      </w:pPr>
      <w:r>
        <w:rPr>
          <w:noProof/>
          <w:color w:val="000000" w:themeColor="text1"/>
        </w:rPr>
        <w:t>In particular, t</w:t>
      </w:r>
      <w:r w:rsidRPr="00D645F7">
        <w:rPr>
          <w:noProof/>
          <w:color w:val="000000" w:themeColor="text1"/>
        </w:rPr>
        <w:t>he Commission</w:t>
      </w:r>
      <w:r w:rsidR="00CD2426">
        <w:rPr>
          <w:noProof/>
          <w:color w:val="000000" w:themeColor="text1"/>
        </w:rPr>
        <w:t xml:space="preserve"> services’</w:t>
      </w:r>
      <w:r w:rsidRPr="00D645F7">
        <w:rPr>
          <w:noProof/>
          <w:color w:val="000000" w:themeColor="text1"/>
        </w:rPr>
        <w:t xml:space="preserve"> ability to provide fast, accurate replies and to close preliminary reviews within 20 working days</w:t>
      </w:r>
      <w:r>
        <w:rPr>
          <w:noProof/>
          <w:color w:val="000000" w:themeColor="text1"/>
        </w:rPr>
        <w:t xml:space="preserve"> has been noted</w:t>
      </w:r>
      <w:r w:rsidRPr="00D645F7">
        <w:rPr>
          <w:noProof/>
          <w:color w:val="000000" w:themeColor="text1"/>
        </w:rPr>
        <w:t xml:space="preserve"> </w:t>
      </w:r>
      <w:r w:rsidR="00DF735C">
        <w:rPr>
          <w:noProof/>
          <w:color w:val="000000" w:themeColor="text1"/>
        </w:rPr>
        <w:t xml:space="preserve">by stakeholders </w:t>
      </w:r>
      <w:r w:rsidRPr="00D645F7">
        <w:rPr>
          <w:noProof/>
          <w:color w:val="000000" w:themeColor="text1"/>
        </w:rPr>
        <w:t>as a</w:t>
      </w:r>
      <w:r>
        <w:rPr>
          <w:noProof/>
          <w:color w:val="000000" w:themeColor="text1"/>
        </w:rPr>
        <w:t xml:space="preserve"> significant </w:t>
      </w:r>
      <w:r w:rsidRPr="00D645F7">
        <w:rPr>
          <w:noProof/>
          <w:color w:val="000000" w:themeColor="text1"/>
        </w:rPr>
        <w:t xml:space="preserve">procedural </w:t>
      </w:r>
      <w:r>
        <w:rPr>
          <w:noProof/>
          <w:color w:val="000000" w:themeColor="text1"/>
        </w:rPr>
        <w:t>strength</w:t>
      </w:r>
      <w:r w:rsidRPr="00D645F7">
        <w:rPr>
          <w:noProof/>
          <w:color w:val="000000" w:themeColor="text1"/>
        </w:rPr>
        <w:t xml:space="preserve"> that </w:t>
      </w:r>
      <w:r>
        <w:rPr>
          <w:noProof/>
          <w:color w:val="000000" w:themeColor="text1"/>
        </w:rPr>
        <w:t>enhances</w:t>
      </w:r>
      <w:r w:rsidRPr="00D645F7">
        <w:rPr>
          <w:noProof/>
          <w:color w:val="000000" w:themeColor="text1"/>
        </w:rPr>
        <w:t xml:space="preserve"> legal certainty for economic operators.</w:t>
      </w:r>
      <w:r w:rsidR="00054CAC">
        <w:rPr>
          <w:noProof/>
          <w:color w:val="000000" w:themeColor="text1"/>
        </w:rPr>
        <w:t xml:space="preserve"> </w:t>
      </w:r>
    </w:p>
    <w:p w14:paraId="0D059D45" w14:textId="7D81CF3F" w:rsidR="00F8251C" w:rsidRDefault="00A30804" w:rsidP="00C31F8E">
      <w:pPr>
        <w:pStyle w:val="Text2"/>
        <w:ind w:left="0"/>
        <w:rPr>
          <w:noProof/>
          <w:color w:val="000000" w:themeColor="text1"/>
        </w:rPr>
      </w:pPr>
      <w:r>
        <w:rPr>
          <w:noProof/>
          <w:lang w:eastAsia="en-GB"/>
        </w:rPr>
        <mc:AlternateContent>
          <mc:Choice Requires="wps">
            <w:drawing>
              <wp:anchor distT="0" distB="0" distL="114300" distR="114300" simplePos="0" relativeHeight="251658240" behindDoc="0" locked="0" layoutInCell="1" allowOverlap="1" wp14:anchorId="490DEB9C" wp14:editId="050D2A21">
                <wp:simplePos x="0" y="0"/>
                <wp:positionH relativeFrom="margin">
                  <wp:align>left</wp:align>
                </wp:positionH>
                <wp:positionV relativeFrom="paragraph">
                  <wp:posOffset>973311</wp:posOffset>
                </wp:positionV>
                <wp:extent cx="5181600" cy="284480"/>
                <wp:effectExtent l="0" t="0" r="0" b="1270"/>
                <wp:wrapTopAndBottom/>
                <wp:docPr id="2133038060" name="Text Box 1"/>
                <wp:cNvGraphicFramePr/>
                <a:graphic xmlns:a="http://schemas.openxmlformats.org/drawingml/2006/main">
                  <a:graphicData uri="http://schemas.microsoft.com/office/word/2010/wordprocessingShape">
                    <wps:wsp>
                      <wps:cNvSpPr txBox="1"/>
                      <wps:spPr>
                        <a:xfrm>
                          <a:off x="0" y="0"/>
                          <a:ext cx="5181600" cy="284480"/>
                        </a:xfrm>
                        <a:prstGeom prst="rect">
                          <a:avLst/>
                        </a:prstGeom>
                        <a:solidFill>
                          <a:prstClr val="white"/>
                        </a:solidFill>
                        <a:ln>
                          <a:noFill/>
                        </a:ln>
                      </wps:spPr>
                      <wps:txbx>
                        <w:txbxContent>
                          <w:p w14:paraId="65486AEE" w14:textId="3DAE7267" w:rsidR="00F8251C" w:rsidRPr="0033327E" w:rsidRDefault="00F8251C" w:rsidP="00F8251C">
                            <w:pPr>
                              <w:pStyle w:val="Caption"/>
                            </w:pPr>
                            <w:r w:rsidRPr="002248F8">
                              <w:t xml:space="preserve">Figure </w:t>
                            </w:r>
                            <w:r w:rsidR="00CB300D" w:rsidRPr="00461E87">
                              <w:t>1</w:t>
                            </w:r>
                            <w:r w:rsidR="00461E87" w:rsidRPr="00461E87">
                              <w:t>3</w:t>
                            </w:r>
                            <w:r w:rsidRPr="002248F8">
                              <w:t>:</w:t>
                            </w:r>
                            <w:r>
                              <w:t xml:space="preserve"> Respondents' views on </w:t>
                            </w:r>
                            <w:r w:rsidR="00850AEE">
                              <w:t xml:space="preserve">threshold </w:t>
                            </w:r>
                            <w:r>
                              <w:t>appropriateness of thresholds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0DEB9C" id="_x0000_t202" coordsize="21600,21600" o:spt="202" path="m,l,21600r21600,l21600,xe">
                <v:stroke joinstyle="miter"/>
                <v:path gradientshapeok="t" o:connecttype="rect"/>
              </v:shapetype>
              <v:shape id="Text Box 1" o:spid="_x0000_s1026" type="#_x0000_t202" style="position:absolute;left:0;text-align:left;margin-left:0;margin-top:76.65pt;width:408pt;height:22.4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" stroked="f">
                <v:textbox inset="0,0,0,0">
                  <w:txbxContent>
                    <w:p w14:paraId="65486AEE" w14:textId="3DAE7267" w:rsidR="00F8251C" w:rsidRPr="0033327E" w:rsidRDefault="00F8251C" w:rsidP="00F8251C">
                      <w:pPr>
                        <w:pStyle w:val="Caption"/>
                      </w:pPr>
                      <w:r w:rsidRPr="002248F8">
                        <w:t xml:space="preserve">Figure </w:t>
                      </w:r>
                      <w:r w:rsidR="00CB300D" w:rsidRPr="00461E87">
                        <w:t>1</w:t>
                      </w:r>
                      <w:r w:rsidR="00461E87" w:rsidRPr="00461E87">
                        <w:t>3</w:t>
                      </w:r>
                      <w:r w:rsidRPr="002248F8">
                        <w:t>:</w:t>
                      </w:r>
                      <w:r>
                        <w:t xml:space="preserve"> Respondents' views on </w:t>
                      </w:r>
                      <w:r w:rsidR="00850AEE">
                        <w:t xml:space="preserve">threshold </w:t>
                      </w:r>
                      <w:r>
                        <w:t>appropriateness of thresholds</w:t>
                      </w:r>
                    </w:p>
                  </w:txbxContent>
                </v:textbox>
                <w10:wrap type="topAndBottom" anchorx="margin"/>
              </v:shape>
            </w:pict>
          </mc:Fallback>
        </mc:AlternateContent>
      </w:r>
      <w:r>
        <w:rPr>
          <w:noProof/>
          <w:lang w:eastAsia="en-GB"/>
        </w:rPr>
        <w:drawing>
          <wp:anchor distT="0" distB="0" distL="114300" distR="114300" simplePos="0" relativeHeight="251658242" behindDoc="0" locked="0" layoutInCell="1" allowOverlap="1" wp14:anchorId="2DC66463" wp14:editId="58E43646">
            <wp:simplePos x="0" y="0"/>
            <wp:positionH relativeFrom="margin">
              <wp:align>left</wp:align>
            </wp:positionH>
            <wp:positionV relativeFrom="paragraph">
              <wp:posOffset>1336651</wp:posOffset>
            </wp:positionV>
            <wp:extent cx="3438525" cy="2115820"/>
            <wp:effectExtent l="0" t="0" r="0" b="0"/>
            <wp:wrapTopAndBottom/>
            <wp:docPr id="203918519" name="Chart 1">
              <a:extLst xmlns:a="http://schemas.openxmlformats.org/drawingml/2006/main">
                <a:ext uri="{FF2B5EF4-FFF2-40B4-BE49-F238E27FC236}">
                  <a16:creationId xmlns:a16="http://schemas.microsoft.com/office/drawing/2014/main" id="{D72757D5-1371-8F2A-5AA8-AC84878D20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14:sizeRelV relativeFrom="margin">
              <wp14:pctHeight>0</wp14:pctHeight>
            </wp14:sizeRelV>
          </wp:anchor>
        </w:drawing>
      </w:r>
      <w:r w:rsidR="00F8251C">
        <w:rPr>
          <w:noProof/>
          <w:color w:val="000000" w:themeColor="text1"/>
        </w:rPr>
        <w:t>In addition, in the public consultation</w:t>
      </w:r>
      <w:r w:rsidR="00AA1E9F" w:rsidRPr="00AA1E9F">
        <w:rPr>
          <w:noProof/>
          <w:color w:val="000000" w:themeColor="text1"/>
        </w:rPr>
        <w:t> (</w:t>
      </w:r>
      <w:r w:rsidR="00AA1E9F">
        <w:rPr>
          <w:rStyle w:val="FootnoteReference"/>
          <w:noProof/>
          <w:color w:val="000000" w:themeColor="text1"/>
        </w:rPr>
        <w:footnoteReference w:id="87"/>
      </w:r>
      <w:r w:rsidR="00AA1E9F">
        <w:rPr>
          <w:noProof/>
          <w:color w:val="000000" w:themeColor="text1"/>
        </w:rPr>
        <w:t>)</w:t>
      </w:r>
      <w:r w:rsidR="00294BD8">
        <w:rPr>
          <w:noProof/>
          <w:color w:val="000000" w:themeColor="text1"/>
        </w:rPr>
        <w:t>,</w:t>
      </w:r>
      <w:r w:rsidR="00F8251C">
        <w:rPr>
          <w:noProof/>
          <w:color w:val="000000" w:themeColor="text1"/>
        </w:rPr>
        <w:t xml:space="preserve"> respondents were asked </w:t>
      </w:r>
      <w:r w:rsidR="00850AEE">
        <w:rPr>
          <w:noProof/>
          <w:color w:val="000000" w:themeColor="text1"/>
        </w:rPr>
        <w:t>how</w:t>
      </w:r>
      <w:r w:rsidR="00F8251C">
        <w:rPr>
          <w:noProof/>
          <w:color w:val="000000" w:themeColor="text1"/>
        </w:rPr>
        <w:t xml:space="preserve"> appropriate of the thresholds</w:t>
      </w:r>
      <w:r w:rsidR="00850AEE">
        <w:rPr>
          <w:noProof/>
          <w:color w:val="000000" w:themeColor="text1"/>
        </w:rPr>
        <w:t xml:space="preserve"> are</w:t>
      </w:r>
      <w:r w:rsidR="00F8251C">
        <w:rPr>
          <w:noProof/>
          <w:color w:val="000000" w:themeColor="text1"/>
        </w:rPr>
        <w:t xml:space="preserve">, including both the jurisdictional threshold of </w:t>
      </w:r>
      <w:r w:rsidR="00612B05">
        <w:rPr>
          <w:noProof/>
          <w:color w:val="000000" w:themeColor="text1"/>
        </w:rPr>
        <w:t xml:space="preserve">a turnover of </w:t>
      </w:r>
      <w:r w:rsidR="00F040DB">
        <w:rPr>
          <w:noProof/>
          <w:color w:val="000000" w:themeColor="text1"/>
        </w:rPr>
        <w:t>EUR </w:t>
      </w:r>
      <w:r w:rsidR="00F8251C">
        <w:rPr>
          <w:noProof/>
          <w:color w:val="000000" w:themeColor="text1"/>
        </w:rPr>
        <w:t xml:space="preserve">250 million and the notification threshold for FFCs. </w:t>
      </w:r>
      <w:r>
        <w:rPr>
          <w:noProof/>
          <w:color w:val="000000" w:themeColor="text1"/>
        </w:rPr>
        <w:t>Overall, 48%</w:t>
      </w:r>
      <w:r w:rsidR="00F8251C">
        <w:rPr>
          <w:noProof/>
          <w:color w:val="000000" w:themeColor="text1"/>
        </w:rPr>
        <w:t xml:space="preserve"> of the respondents did not advocate for an increase or decrease </w:t>
      </w:r>
      <w:r w:rsidR="00850AEE">
        <w:rPr>
          <w:noProof/>
          <w:color w:val="000000" w:themeColor="text1"/>
        </w:rPr>
        <w:t xml:space="preserve">in </w:t>
      </w:r>
      <w:r w:rsidR="00F8251C">
        <w:rPr>
          <w:noProof/>
          <w:color w:val="000000" w:themeColor="text1"/>
        </w:rPr>
        <w:t xml:space="preserve">the thresholds, indicating a broad level of acceptance of the current framework. </w:t>
      </w:r>
    </w:p>
    <w:p w14:paraId="3AFAB767" w14:textId="50EF8C76" w:rsidR="00294BD8" w:rsidRPr="005F1BD2" w:rsidRDefault="00C65255" w:rsidP="00294BD8">
      <w:pPr>
        <w:pStyle w:val="Text2"/>
        <w:ind w:left="0"/>
        <w:rPr>
          <w:i/>
          <w:noProof/>
          <w:sz w:val="20"/>
          <w:szCs w:val="16"/>
        </w:rPr>
      </w:pPr>
      <w:r w:rsidRPr="005F1BD2">
        <w:rPr>
          <w:i/>
          <w:noProof/>
          <w:sz w:val="20"/>
          <w:szCs w:val="16"/>
        </w:rPr>
        <w:t xml:space="preserve">Source: </w:t>
      </w:r>
      <w:r w:rsidR="006674A2" w:rsidRPr="005F1BD2">
        <w:rPr>
          <w:i/>
          <w:noProof/>
          <w:sz w:val="20"/>
          <w:szCs w:val="16"/>
        </w:rPr>
        <w:t>Commission services</w:t>
      </w:r>
      <w:r w:rsidR="00F040DB" w:rsidRPr="005F1BD2">
        <w:rPr>
          <w:i/>
          <w:iCs/>
          <w:noProof/>
          <w:sz w:val="20"/>
          <w:szCs w:val="16"/>
        </w:rPr>
        <w:t>.</w:t>
      </w:r>
    </w:p>
    <w:p w14:paraId="27F08923" w14:textId="176007D4" w:rsidR="00991A10" w:rsidRDefault="00294BD8" w:rsidP="00C31F8E">
      <w:pPr>
        <w:pStyle w:val="Text2"/>
        <w:ind w:left="0"/>
        <w:rPr>
          <w:noProof/>
          <w:color w:val="000000" w:themeColor="text1"/>
        </w:rPr>
      </w:pPr>
      <w:r>
        <w:rPr>
          <w:noProof/>
        </w:rPr>
        <w:t xml:space="preserve">Finally, in terms of effects on participation </w:t>
      </w:r>
      <w:r w:rsidR="00850AEE">
        <w:rPr>
          <w:noProof/>
        </w:rPr>
        <w:t>in</w:t>
      </w:r>
      <w:r>
        <w:rPr>
          <w:noProof/>
        </w:rPr>
        <w:t xml:space="preserve">to public procurement procedures, only 26% of respondents to the public consultation observed a reduction in participation by both EU- and non-EU-based companies. </w:t>
      </w:r>
      <w:r w:rsidR="00AA1E9F" w:rsidRPr="00AA1E9F">
        <w:rPr>
          <w:noProof/>
        </w:rPr>
        <w:t xml:space="preserve">At the same time, 41% of respondents had no firm view on the FSR’s effect on the participation of third-country economic operators, and a further 26% considered it too early to assess the </w:t>
      </w:r>
      <w:r w:rsidR="00CD2426">
        <w:rPr>
          <w:noProof/>
        </w:rPr>
        <w:t>FSR</w:t>
      </w:r>
      <w:r w:rsidR="00CD2426" w:rsidRPr="00AA1E9F">
        <w:rPr>
          <w:noProof/>
        </w:rPr>
        <w:t xml:space="preserve">’s </w:t>
      </w:r>
      <w:r w:rsidR="00AA1E9F" w:rsidRPr="00AA1E9F">
        <w:rPr>
          <w:noProof/>
        </w:rPr>
        <w:t>impact in this respect. While some respondents suggested that perceived reductions in participation may be linked to administrative burdens associated with the FS</w:t>
      </w:r>
      <w:r w:rsidR="00612B05">
        <w:rPr>
          <w:noProof/>
        </w:rPr>
        <w:t>I</w:t>
      </w:r>
      <w:r w:rsidR="00AA1E9F" w:rsidRPr="00AA1E9F">
        <w:rPr>
          <w:noProof/>
        </w:rPr>
        <w:t xml:space="preserve">R reporting obligations or to concerns relating to potential scrutiny under the regime, the overall distribution of responses indicates that a majority of stakeholders either do </w:t>
      </w:r>
      <w:r w:rsidR="005A69CB">
        <w:rPr>
          <w:noProof/>
        </w:rPr>
        <w:t xml:space="preserve">have </w:t>
      </w:r>
      <w:r w:rsidR="00AA1E9F" w:rsidRPr="00AA1E9F">
        <w:rPr>
          <w:noProof/>
        </w:rPr>
        <w:t>not observe</w:t>
      </w:r>
      <w:r w:rsidR="005A69CB">
        <w:rPr>
          <w:noProof/>
        </w:rPr>
        <w:t>d</w:t>
      </w:r>
      <w:r w:rsidR="00AA1E9F" w:rsidRPr="00AA1E9F">
        <w:rPr>
          <w:noProof/>
        </w:rPr>
        <w:t xml:space="preserve"> such effects or are not yet in a position to assess them.</w:t>
      </w:r>
    </w:p>
    <w:p w14:paraId="12320226" w14:textId="77777777" w:rsidR="00C31F8E" w:rsidRPr="00C03780" w:rsidRDefault="00C31F8E" w:rsidP="006041B3">
      <w:pPr>
        <w:pStyle w:val="ListNumberLevel2"/>
        <w:keepNext/>
        <w:ind w:left="1418" w:hanging="709"/>
        <w:rPr>
          <w:i/>
          <w:iCs/>
          <w:noProof/>
        </w:rPr>
      </w:pPr>
      <w:r w:rsidRPr="00C03780">
        <w:rPr>
          <w:i/>
          <w:iCs/>
          <w:noProof/>
        </w:rPr>
        <w:t>Challenges raised by stakeholders</w:t>
      </w:r>
    </w:p>
    <w:p w14:paraId="3C264088" w14:textId="1FB70C9B" w:rsidR="00B62FE5" w:rsidRDefault="00C31F8E" w:rsidP="00C31F8E">
      <w:pPr>
        <w:pStyle w:val="Text2"/>
        <w:ind w:left="0"/>
        <w:rPr>
          <w:noProof/>
          <w:color w:val="000000" w:themeColor="text1"/>
          <w:lang w:val="en-IE"/>
        </w:rPr>
      </w:pPr>
      <w:r w:rsidRPr="00A90FB8">
        <w:rPr>
          <w:noProof/>
          <w:color w:val="000000" w:themeColor="text1"/>
          <w:lang w:val="en-IE"/>
        </w:rPr>
        <w:t xml:space="preserve">Conversely, the practical application of the FSR has revealed substantial </w:t>
      </w:r>
      <w:r>
        <w:rPr>
          <w:noProof/>
          <w:color w:val="000000" w:themeColor="text1"/>
          <w:lang w:val="en-IE"/>
        </w:rPr>
        <w:t>bottlenecks</w:t>
      </w:r>
      <w:r w:rsidRPr="00A90FB8">
        <w:rPr>
          <w:noProof/>
          <w:color w:val="000000" w:themeColor="text1"/>
          <w:lang w:val="en-IE"/>
        </w:rPr>
        <w:t xml:space="preserve">, primarily concerning the administrative </w:t>
      </w:r>
      <w:r>
        <w:rPr>
          <w:noProof/>
          <w:color w:val="000000" w:themeColor="text1"/>
          <w:lang w:val="en-IE"/>
        </w:rPr>
        <w:t>burden</w:t>
      </w:r>
      <w:r w:rsidRPr="00A90FB8">
        <w:rPr>
          <w:noProof/>
          <w:color w:val="000000" w:themeColor="text1"/>
          <w:lang w:val="en-IE"/>
        </w:rPr>
        <w:t xml:space="preserve"> of the </w:t>
      </w:r>
      <w:r>
        <w:rPr>
          <w:noProof/>
          <w:color w:val="000000" w:themeColor="text1"/>
          <w:lang w:val="en-IE"/>
        </w:rPr>
        <w:t>R</w:t>
      </w:r>
      <w:r w:rsidRPr="00A90FB8">
        <w:rPr>
          <w:noProof/>
          <w:color w:val="000000" w:themeColor="text1"/>
          <w:lang w:val="en-IE"/>
        </w:rPr>
        <w:t>egulation. Trade associations have largely characteri</w:t>
      </w:r>
      <w:r>
        <w:rPr>
          <w:noProof/>
          <w:color w:val="000000" w:themeColor="text1"/>
          <w:lang w:val="en-IE"/>
        </w:rPr>
        <w:t>s</w:t>
      </w:r>
      <w:r w:rsidRPr="00A90FB8">
        <w:rPr>
          <w:noProof/>
          <w:color w:val="000000" w:themeColor="text1"/>
          <w:lang w:val="en-IE"/>
        </w:rPr>
        <w:t xml:space="preserve">ed reporting obligations as </w:t>
      </w:r>
      <w:r>
        <w:rPr>
          <w:noProof/>
          <w:color w:val="000000" w:themeColor="text1"/>
          <w:lang w:val="en-IE"/>
        </w:rPr>
        <w:t>‘</w:t>
      </w:r>
      <w:r w:rsidRPr="00A90FB8">
        <w:rPr>
          <w:noProof/>
          <w:color w:val="000000" w:themeColor="text1"/>
          <w:lang w:val="en-IE"/>
        </w:rPr>
        <w:t>administratively burdensome</w:t>
      </w:r>
      <w:r>
        <w:rPr>
          <w:noProof/>
          <w:color w:val="000000" w:themeColor="text1"/>
          <w:lang w:val="en-IE"/>
        </w:rPr>
        <w:t>’</w:t>
      </w:r>
      <w:r w:rsidRPr="00A90FB8">
        <w:rPr>
          <w:noProof/>
          <w:color w:val="000000" w:themeColor="text1"/>
          <w:lang w:val="en-IE"/>
        </w:rPr>
        <w:t xml:space="preserve"> and overly complex, questioning the proportionality of the system given the high volume of submissions compared to the relatively low number of in-depth investigations</w:t>
      </w:r>
      <w:r>
        <w:rPr>
          <w:noProof/>
          <w:color w:val="000000" w:themeColor="text1"/>
          <w:lang w:val="en-IE"/>
        </w:rPr>
        <w:t xml:space="preserve"> initiated so far</w:t>
      </w:r>
      <w:r w:rsidRPr="00A90FB8">
        <w:rPr>
          <w:noProof/>
          <w:color w:val="000000" w:themeColor="text1"/>
          <w:lang w:val="en-IE"/>
        </w:rPr>
        <w:t xml:space="preserve">. </w:t>
      </w:r>
      <w:r w:rsidR="00C31189" w:rsidRPr="00C31189">
        <w:rPr>
          <w:noProof/>
          <w:color w:val="000000" w:themeColor="text1"/>
        </w:rPr>
        <w:t xml:space="preserve">A majority of stakeholders (57%) find the reporting obligations unclear. </w:t>
      </w:r>
      <w:r w:rsidR="009D47A7">
        <w:rPr>
          <w:noProof/>
          <w:color w:val="000000" w:themeColor="text1"/>
        </w:rPr>
        <w:t xml:space="preserve">Form </w:t>
      </w:r>
      <w:r w:rsidR="00C31189" w:rsidRPr="00C31189">
        <w:rPr>
          <w:noProof/>
          <w:color w:val="000000" w:themeColor="text1"/>
        </w:rPr>
        <w:t>FS-PP is also widely criticised for its complexity, with 37% of respondents calling for simplification and 22% describing it as difficult to understand.</w:t>
      </w:r>
      <w:r w:rsidR="00C31189">
        <w:rPr>
          <w:noProof/>
          <w:color w:val="000000" w:themeColor="text1"/>
        </w:rPr>
        <w:t xml:space="preserve"> </w:t>
      </w:r>
      <w:r w:rsidRPr="00A90FB8">
        <w:rPr>
          <w:noProof/>
          <w:color w:val="000000" w:themeColor="text1"/>
          <w:lang w:val="en-IE"/>
        </w:rPr>
        <w:t>To mitigate this, associations have proposed narrowing the definition of FFCs and simplifying reporting for consortia</w:t>
      </w:r>
      <w:r>
        <w:rPr>
          <w:noProof/>
          <w:color w:val="000000" w:themeColor="text1"/>
          <w:lang w:val="en-IE"/>
        </w:rPr>
        <w:t>, which are required to aggregate the amounts of FFCs received by each member undertaking</w:t>
      </w:r>
      <w:r w:rsidRPr="00A90FB8">
        <w:rPr>
          <w:noProof/>
          <w:color w:val="000000" w:themeColor="text1"/>
          <w:lang w:val="en-IE"/>
        </w:rPr>
        <w:t xml:space="preserve">. </w:t>
      </w:r>
    </w:p>
    <w:p w14:paraId="73EA4781" w14:textId="66FF48FB" w:rsidR="00B62FE5" w:rsidRDefault="00C31F8E" w:rsidP="00C31F8E">
      <w:pPr>
        <w:pStyle w:val="Text2"/>
        <w:ind w:left="0"/>
        <w:rPr>
          <w:noProof/>
          <w:color w:val="000000" w:themeColor="text1"/>
          <w:lang w:val="en-IE"/>
        </w:rPr>
      </w:pPr>
      <w:r w:rsidRPr="00A90FB8">
        <w:rPr>
          <w:noProof/>
          <w:color w:val="000000" w:themeColor="text1"/>
          <w:lang w:val="en-IE"/>
        </w:rPr>
        <w:t xml:space="preserve">Furthermore, there is a noted lack of awareness among contracting authorities </w:t>
      </w:r>
      <w:r w:rsidR="005A69CB">
        <w:rPr>
          <w:noProof/>
          <w:color w:val="000000" w:themeColor="text1"/>
          <w:lang w:val="en-IE"/>
        </w:rPr>
        <w:t>about</w:t>
      </w:r>
      <w:r w:rsidR="005A69CB" w:rsidRPr="00A90FB8">
        <w:rPr>
          <w:noProof/>
          <w:color w:val="000000" w:themeColor="text1"/>
          <w:lang w:val="en-IE"/>
        </w:rPr>
        <w:t xml:space="preserve"> </w:t>
      </w:r>
      <w:r w:rsidRPr="00A90FB8">
        <w:rPr>
          <w:noProof/>
          <w:color w:val="000000" w:themeColor="text1"/>
          <w:lang w:val="en-IE"/>
        </w:rPr>
        <w:t>their duties, leading trade associations to call for a more comprehensive Q&amp;A to bridge this knowledge gap.</w:t>
      </w:r>
      <w:r w:rsidR="00B62FE5">
        <w:rPr>
          <w:noProof/>
          <w:color w:val="000000" w:themeColor="text1"/>
          <w:lang w:val="en-IE"/>
        </w:rPr>
        <w:t xml:space="preserve"> International trade associations </w:t>
      </w:r>
      <w:r w:rsidR="00B62FE5" w:rsidRPr="00A90FB8">
        <w:rPr>
          <w:noProof/>
          <w:color w:val="000000" w:themeColor="text1"/>
          <w:lang w:val="en-IE"/>
        </w:rPr>
        <w:t xml:space="preserve">also pointed to a lack of </w:t>
      </w:r>
      <w:r w:rsidR="00B62FE5">
        <w:rPr>
          <w:noProof/>
          <w:color w:val="000000" w:themeColor="text1"/>
          <w:lang w:val="en-IE"/>
        </w:rPr>
        <w:t xml:space="preserve">guidance at </w:t>
      </w:r>
      <w:r w:rsidR="00B62FE5" w:rsidRPr="00A90FB8">
        <w:rPr>
          <w:noProof/>
          <w:color w:val="000000" w:themeColor="text1"/>
          <w:lang w:val="en-IE"/>
        </w:rPr>
        <w:t>national level, which has led to inconsistent practices among various contracting authorities</w:t>
      </w:r>
      <w:r w:rsidR="00B62FE5">
        <w:rPr>
          <w:noProof/>
          <w:color w:val="000000" w:themeColor="text1"/>
          <w:lang w:val="en-IE"/>
        </w:rPr>
        <w:t xml:space="preserve"> across the EU</w:t>
      </w:r>
      <w:r w:rsidR="00B62FE5" w:rsidRPr="00A90FB8">
        <w:rPr>
          <w:noProof/>
          <w:color w:val="000000" w:themeColor="text1"/>
          <w:lang w:val="en-IE"/>
        </w:rPr>
        <w:t>.</w:t>
      </w:r>
      <w:r w:rsidR="00B62FE5">
        <w:rPr>
          <w:noProof/>
          <w:color w:val="000000" w:themeColor="text1"/>
          <w:lang w:val="en-IE"/>
        </w:rPr>
        <w:t xml:space="preserve"> </w:t>
      </w:r>
      <w:r w:rsidR="00B62FE5" w:rsidRPr="00B62FE5">
        <w:rPr>
          <w:noProof/>
          <w:color w:val="000000" w:themeColor="text1"/>
        </w:rPr>
        <w:t xml:space="preserve">This </w:t>
      </w:r>
      <w:r w:rsidR="005A69CB">
        <w:rPr>
          <w:noProof/>
          <w:color w:val="000000" w:themeColor="text1"/>
        </w:rPr>
        <w:t>was</w:t>
      </w:r>
      <w:r w:rsidR="005A69CB" w:rsidRPr="00B62FE5">
        <w:rPr>
          <w:noProof/>
          <w:color w:val="000000" w:themeColor="text1"/>
        </w:rPr>
        <w:t xml:space="preserve"> </w:t>
      </w:r>
      <w:r w:rsidR="00B62FE5" w:rsidRPr="00B62FE5">
        <w:rPr>
          <w:noProof/>
          <w:color w:val="000000" w:themeColor="text1"/>
        </w:rPr>
        <w:t xml:space="preserve">also reflected in the public consultation, where a large majority of respondents (61%) highlighted the need for a clearer and more precise text of the FSR and </w:t>
      </w:r>
      <w:r w:rsidR="009362C2">
        <w:rPr>
          <w:noProof/>
          <w:color w:val="000000" w:themeColor="text1"/>
        </w:rPr>
        <w:t>the</w:t>
      </w:r>
      <w:r w:rsidR="009362C2" w:rsidRPr="00B62FE5">
        <w:rPr>
          <w:noProof/>
          <w:color w:val="000000" w:themeColor="text1"/>
        </w:rPr>
        <w:t xml:space="preserve"> </w:t>
      </w:r>
      <w:r w:rsidR="009362C2">
        <w:rPr>
          <w:noProof/>
          <w:color w:val="000000" w:themeColor="text1"/>
        </w:rPr>
        <w:t xml:space="preserve">FSIR </w:t>
      </w:r>
      <w:r w:rsidR="00B62FE5" w:rsidRPr="00B62FE5">
        <w:rPr>
          <w:noProof/>
          <w:color w:val="000000" w:themeColor="text1"/>
        </w:rPr>
        <w:t>to enable contracting authorities to understand their obligations.</w:t>
      </w:r>
    </w:p>
    <w:p w14:paraId="77019EF0" w14:textId="0FDD9EC7" w:rsidR="00B62FE5" w:rsidRDefault="009362C2" w:rsidP="00C31F8E">
      <w:pPr>
        <w:pStyle w:val="Text2"/>
        <w:ind w:left="0"/>
        <w:rPr>
          <w:noProof/>
          <w:color w:val="000000" w:themeColor="text1"/>
          <w:lang w:val="en-IE"/>
        </w:rPr>
      </w:pPr>
      <w:r>
        <w:rPr>
          <w:noProof/>
          <w:color w:val="000000" w:themeColor="text1"/>
          <w:lang w:val="en-IE"/>
        </w:rPr>
        <w:t xml:space="preserve">The </w:t>
      </w:r>
      <w:r w:rsidR="00C31F8E" w:rsidRPr="00A90FB8">
        <w:rPr>
          <w:noProof/>
          <w:color w:val="000000" w:themeColor="text1"/>
          <w:lang w:val="en-IE"/>
        </w:rPr>
        <w:t xml:space="preserve">feedback </w:t>
      </w:r>
      <w:r>
        <w:rPr>
          <w:noProof/>
          <w:color w:val="000000" w:themeColor="text1"/>
          <w:lang w:val="en-IE"/>
        </w:rPr>
        <w:t xml:space="preserve">by </w:t>
      </w:r>
      <w:r w:rsidR="005A69CB">
        <w:rPr>
          <w:noProof/>
          <w:color w:val="000000" w:themeColor="text1"/>
          <w:lang w:val="en-IE"/>
        </w:rPr>
        <w:t>c</w:t>
      </w:r>
      <w:r w:rsidRPr="00A90FB8">
        <w:rPr>
          <w:noProof/>
          <w:color w:val="000000" w:themeColor="text1"/>
          <w:lang w:val="en-IE"/>
        </w:rPr>
        <w:t xml:space="preserve">hambers of </w:t>
      </w:r>
      <w:r w:rsidR="005A69CB">
        <w:rPr>
          <w:noProof/>
          <w:color w:val="000000" w:themeColor="text1"/>
          <w:lang w:val="en-IE"/>
        </w:rPr>
        <w:t>c</w:t>
      </w:r>
      <w:r w:rsidRPr="00A90FB8">
        <w:rPr>
          <w:noProof/>
          <w:color w:val="000000" w:themeColor="text1"/>
          <w:lang w:val="en-IE"/>
        </w:rPr>
        <w:t>ommerce representing third-country businesses</w:t>
      </w:r>
      <w:r>
        <w:rPr>
          <w:noProof/>
          <w:color w:val="000000" w:themeColor="text1"/>
          <w:lang w:val="en-IE"/>
        </w:rPr>
        <w:t xml:space="preserve"> </w:t>
      </w:r>
      <w:r w:rsidR="00C31F8E">
        <w:rPr>
          <w:noProof/>
          <w:color w:val="000000" w:themeColor="text1"/>
          <w:lang w:val="en-IE"/>
        </w:rPr>
        <w:t>has been</w:t>
      </w:r>
      <w:r w:rsidR="00C31F8E" w:rsidRPr="00A90FB8">
        <w:rPr>
          <w:noProof/>
          <w:color w:val="000000" w:themeColor="text1"/>
          <w:lang w:val="en-IE"/>
        </w:rPr>
        <w:t xml:space="preserve"> </w:t>
      </w:r>
      <w:r w:rsidR="00C31F8E">
        <w:rPr>
          <w:noProof/>
          <w:color w:val="000000" w:themeColor="text1"/>
          <w:lang w:val="en-IE"/>
        </w:rPr>
        <w:t>relatively</w:t>
      </w:r>
      <w:r w:rsidR="00C31F8E" w:rsidRPr="00A90FB8">
        <w:rPr>
          <w:noProof/>
          <w:color w:val="000000" w:themeColor="text1"/>
          <w:lang w:val="en-IE"/>
        </w:rPr>
        <w:t xml:space="preserve"> critical, citing high compliance costs and a lack of transparency that forces frequent, burdensome internal due diligence</w:t>
      </w:r>
      <w:r w:rsidR="00C31F8E">
        <w:rPr>
          <w:noProof/>
          <w:color w:val="000000" w:themeColor="text1"/>
          <w:lang w:val="en-IE"/>
        </w:rPr>
        <w:t xml:space="preserve"> exercises to collect FFC data on a rolling basis</w:t>
      </w:r>
      <w:r w:rsidR="00C31F8E" w:rsidRPr="00A90FB8">
        <w:rPr>
          <w:noProof/>
          <w:color w:val="000000" w:themeColor="text1"/>
          <w:lang w:val="en-IE"/>
        </w:rPr>
        <w:t xml:space="preserve">. These stakeholders have suggested </w:t>
      </w:r>
      <w:r w:rsidR="00C31F8E">
        <w:rPr>
          <w:noProof/>
          <w:color w:val="000000" w:themeColor="text1"/>
          <w:lang w:val="en-IE"/>
        </w:rPr>
        <w:t>various</w:t>
      </w:r>
      <w:r w:rsidR="00C31F8E" w:rsidRPr="00A90FB8">
        <w:rPr>
          <w:noProof/>
          <w:color w:val="000000" w:themeColor="text1"/>
          <w:lang w:val="en-IE"/>
        </w:rPr>
        <w:t xml:space="preserve"> changes</w:t>
      </w:r>
      <w:r w:rsidR="00C31F8E">
        <w:rPr>
          <w:noProof/>
          <w:color w:val="000000" w:themeColor="text1"/>
          <w:lang w:val="en-IE"/>
        </w:rPr>
        <w:t xml:space="preserve"> both to the </w:t>
      </w:r>
      <w:r w:rsidR="00906E02">
        <w:rPr>
          <w:noProof/>
          <w:color w:val="000000" w:themeColor="text1"/>
          <w:lang w:val="en-IE"/>
        </w:rPr>
        <w:t>FSR</w:t>
      </w:r>
      <w:r w:rsidR="00C31F8E">
        <w:rPr>
          <w:noProof/>
          <w:color w:val="000000" w:themeColor="text1"/>
          <w:lang w:val="en-IE"/>
        </w:rPr>
        <w:t xml:space="preserve"> and the </w:t>
      </w:r>
      <w:r w:rsidR="00906E02">
        <w:rPr>
          <w:noProof/>
          <w:color w:val="000000" w:themeColor="text1"/>
          <w:lang w:val="en-IE"/>
        </w:rPr>
        <w:t>FSIR</w:t>
      </w:r>
      <w:r w:rsidR="00C31F8E" w:rsidRPr="00A90FB8">
        <w:rPr>
          <w:noProof/>
          <w:color w:val="000000" w:themeColor="text1"/>
          <w:lang w:val="en-IE"/>
        </w:rPr>
        <w:t xml:space="preserve">, including increasing </w:t>
      </w:r>
      <w:r w:rsidR="00C31F8E">
        <w:rPr>
          <w:noProof/>
          <w:color w:val="000000" w:themeColor="text1"/>
          <w:lang w:val="en-IE"/>
        </w:rPr>
        <w:t>the FFC</w:t>
      </w:r>
      <w:r w:rsidR="00C31F8E" w:rsidRPr="00A90FB8">
        <w:rPr>
          <w:noProof/>
          <w:color w:val="000000" w:themeColor="text1"/>
          <w:lang w:val="en-IE"/>
        </w:rPr>
        <w:t xml:space="preserve"> thresholds, excluding certain types of </w:t>
      </w:r>
      <w:r w:rsidR="00C31F8E">
        <w:rPr>
          <w:noProof/>
          <w:color w:val="000000" w:themeColor="text1"/>
          <w:lang w:val="en-IE"/>
        </w:rPr>
        <w:t xml:space="preserve">FFCs </w:t>
      </w:r>
      <w:r w:rsidR="005A69CB">
        <w:rPr>
          <w:noProof/>
          <w:color w:val="000000" w:themeColor="text1"/>
          <w:lang w:val="en-IE"/>
        </w:rPr>
        <w:t>relating</w:t>
      </w:r>
      <w:r w:rsidR="00C31F8E">
        <w:rPr>
          <w:noProof/>
          <w:color w:val="000000" w:themeColor="text1"/>
          <w:lang w:val="en-IE"/>
        </w:rPr>
        <w:t xml:space="preserve"> to </w:t>
      </w:r>
      <w:r w:rsidR="00C31F8E" w:rsidRPr="00A90FB8">
        <w:rPr>
          <w:noProof/>
          <w:color w:val="000000" w:themeColor="text1"/>
          <w:lang w:val="en-IE"/>
        </w:rPr>
        <w:t>turnover</w:t>
      </w:r>
      <w:r w:rsidR="00C31F8E">
        <w:rPr>
          <w:noProof/>
          <w:color w:val="000000" w:themeColor="text1"/>
          <w:lang w:val="en-IE"/>
        </w:rPr>
        <w:t xml:space="preserve"> – </w:t>
      </w:r>
      <w:r w:rsidR="00C31F8E" w:rsidRPr="00A90FB8">
        <w:rPr>
          <w:noProof/>
          <w:color w:val="000000" w:themeColor="text1"/>
          <w:lang w:val="en-IE"/>
        </w:rPr>
        <w:t xml:space="preserve">such as that from </w:t>
      </w:r>
      <w:r w:rsidR="00C31F8E">
        <w:rPr>
          <w:noProof/>
          <w:color w:val="000000" w:themeColor="text1"/>
          <w:lang w:val="en-IE"/>
        </w:rPr>
        <w:t xml:space="preserve">the sale of goods and services without alternative sources of supply – </w:t>
      </w:r>
      <w:r w:rsidR="00C31F8E" w:rsidRPr="00A90FB8">
        <w:rPr>
          <w:noProof/>
          <w:color w:val="000000" w:themeColor="text1"/>
          <w:lang w:val="en-IE"/>
        </w:rPr>
        <w:t>and limiting the geographical scope of reporting to specific countries</w:t>
      </w:r>
      <w:r w:rsidR="00C31F8E">
        <w:rPr>
          <w:noProof/>
          <w:color w:val="000000" w:themeColor="text1"/>
          <w:lang w:val="en-IE"/>
        </w:rPr>
        <w:t xml:space="preserve">, providing clearer guidance on waivers and minimising administrative burden on SMEs and on economic operators that do not engage in any economic activity in </w:t>
      </w:r>
      <w:r w:rsidR="008604C5">
        <w:rPr>
          <w:noProof/>
          <w:color w:val="000000" w:themeColor="text1"/>
          <w:lang w:val="en-IE"/>
        </w:rPr>
        <w:t>third</w:t>
      </w:r>
      <w:r w:rsidR="00C31F8E">
        <w:rPr>
          <w:noProof/>
          <w:color w:val="000000" w:themeColor="text1"/>
          <w:lang w:val="en-IE"/>
        </w:rPr>
        <w:t xml:space="preserve"> countries</w:t>
      </w:r>
      <w:r w:rsidR="00C31F8E" w:rsidRPr="00A90FB8">
        <w:rPr>
          <w:noProof/>
          <w:color w:val="000000" w:themeColor="text1"/>
          <w:lang w:val="en-IE"/>
        </w:rPr>
        <w:t xml:space="preserve">. </w:t>
      </w:r>
    </w:p>
    <w:p w14:paraId="61843C2B" w14:textId="4420E89F" w:rsidR="00C31F8E" w:rsidRPr="00DD5ED0" w:rsidRDefault="00C31F8E" w:rsidP="00C31F8E">
      <w:pPr>
        <w:pStyle w:val="Text2"/>
        <w:ind w:left="0"/>
        <w:rPr>
          <w:noProof/>
          <w:color w:val="000000" w:themeColor="text1"/>
          <w:lang w:val="en-IE"/>
        </w:rPr>
      </w:pPr>
      <w:r w:rsidRPr="00A90FB8">
        <w:rPr>
          <w:noProof/>
          <w:color w:val="000000" w:themeColor="text1"/>
          <w:lang w:val="en-IE"/>
        </w:rPr>
        <w:t xml:space="preserve">Finally, specific concerns were raised </w:t>
      </w:r>
      <w:r>
        <w:rPr>
          <w:noProof/>
          <w:color w:val="000000" w:themeColor="text1"/>
          <w:lang w:val="en-IE"/>
        </w:rPr>
        <w:t xml:space="preserve">by other trade associations </w:t>
      </w:r>
      <w:r w:rsidR="005A69CB">
        <w:rPr>
          <w:noProof/>
          <w:color w:val="000000" w:themeColor="text1"/>
          <w:lang w:val="en-IE"/>
        </w:rPr>
        <w:t>about</w:t>
      </w:r>
      <w:r w:rsidR="005A69CB" w:rsidRPr="00A90FB8">
        <w:rPr>
          <w:noProof/>
          <w:color w:val="000000" w:themeColor="text1"/>
          <w:lang w:val="en-IE"/>
        </w:rPr>
        <w:t xml:space="preserve"> </w:t>
      </w:r>
      <w:r w:rsidRPr="00A90FB8">
        <w:rPr>
          <w:noProof/>
          <w:color w:val="000000" w:themeColor="text1"/>
          <w:lang w:val="en-IE"/>
        </w:rPr>
        <w:t xml:space="preserve">the </w:t>
      </w:r>
      <w:r>
        <w:rPr>
          <w:noProof/>
          <w:color w:val="000000" w:themeColor="text1"/>
          <w:lang w:val="en-IE"/>
        </w:rPr>
        <w:t>‘</w:t>
      </w:r>
      <w:r w:rsidRPr="00A90FB8">
        <w:rPr>
          <w:noProof/>
          <w:color w:val="000000" w:themeColor="text1"/>
          <w:lang w:val="en-IE"/>
        </w:rPr>
        <w:t>systematic risk</w:t>
      </w:r>
      <w:r>
        <w:rPr>
          <w:noProof/>
          <w:color w:val="000000" w:themeColor="text1"/>
          <w:lang w:val="en-IE"/>
        </w:rPr>
        <w:t>’</w:t>
      </w:r>
      <w:r w:rsidRPr="00A90FB8">
        <w:rPr>
          <w:noProof/>
          <w:color w:val="000000" w:themeColor="text1"/>
          <w:lang w:val="en-IE"/>
        </w:rPr>
        <w:t xml:space="preserve"> of operators continuing to bid for new contracts while under an active in-depth investigation, leading to calls for stricter monitoring obligations to prevent ongoing market distortion during the investigative process.</w:t>
      </w:r>
    </w:p>
    <w:p w14:paraId="5D83BBB9" w14:textId="77777777" w:rsidR="00C31F8E" w:rsidRPr="001E1BA6" w:rsidRDefault="00C31F8E" w:rsidP="00A8656E">
      <w:pPr>
        <w:pStyle w:val="Heading4"/>
        <w:rPr>
          <w:noProof/>
        </w:rPr>
      </w:pPr>
      <w:bookmarkStart w:id="147" w:name="_Toc228286508"/>
      <w:bookmarkStart w:id="148" w:name="_Toc234227880"/>
      <w:r>
        <w:rPr>
          <w:noProof/>
        </w:rPr>
        <w:t xml:space="preserve">The FSR Review </w:t>
      </w:r>
      <w:r w:rsidRPr="1D92975A">
        <w:rPr>
          <w:noProof/>
        </w:rPr>
        <w:t>Study</w:t>
      </w:r>
      <w:bookmarkEnd w:id="147"/>
      <w:bookmarkEnd w:id="148"/>
      <w:r w:rsidRPr="1D92975A">
        <w:rPr>
          <w:noProof/>
        </w:rPr>
        <w:t xml:space="preserve"> </w:t>
      </w:r>
    </w:p>
    <w:p w14:paraId="21C57E01" w14:textId="67DD95EE" w:rsidR="00C31F8E" w:rsidRDefault="00C31F8E" w:rsidP="00C31F8E">
      <w:pPr>
        <w:rPr>
          <w:noProof/>
          <w:szCs w:val="24"/>
        </w:rPr>
      </w:pPr>
      <w:r w:rsidRPr="005A0D37">
        <w:rPr>
          <w:noProof/>
          <w:szCs w:val="24"/>
        </w:rPr>
        <w:t xml:space="preserve">The </w:t>
      </w:r>
      <w:r>
        <w:rPr>
          <w:noProof/>
          <w:szCs w:val="24"/>
        </w:rPr>
        <w:t xml:space="preserve">FSR Review Study, in addition to the statistical overview of all cases, reviewed the Commission’s practice through its three in-depth investigations, two irregularity decisions as well as a sample of 30 cases for which no decision was required. The assessment provides conclusions on </w:t>
      </w:r>
      <w:r w:rsidR="00F040DB">
        <w:rPr>
          <w:noProof/>
          <w:szCs w:val="24"/>
        </w:rPr>
        <w:t>Articles </w:t>
      </w:r>
      <w:r>
        <w:rPr>
          <w:noProof/>
          <w:szCs w:val="24"/>
        </w:rPr>
        <w:t>3, 4 and 5 FSR interpreted in</w:t>
      </w:r>
      <w:r w:rsidR="00820267">
        <w:rPr>
          <w:noProof/>
          <w:szCs w:val="24"/>
        </w:rPr>
        <w:t xml:space="preserve"> the</w:t>
      </w:r>
      <w:r>
        <w:rPr>
          <w:noProof/>
          <w:szCs w:val="24"/>
        </w:rPr>
        <w:t xml:space="preserve"> light of </w:t>
      </w:r>
      <w:r w:rsidR="00F040DB">
        <w:rPr>
          <w:noProof/>
          <w:szCs w:val="24"/>
        </w:rPr>
        <w:t>Chapter </w:t>
      </w:r>
      <w:r>
        <w:rPr>
          <w:noProof/>
          <w:szCs w:val="24"/>
        </w:rPr>
        <w:t>4 FSR on public procurement procedures</w:t>
      </w:r>
      <w:r w:rsidR="00230AD6" w:rsidRPr="00230AD6">
        <w:rPr>
          <w:noProof/>
          <w:szCs w:val="24"/>
        </w:rPr>
        <w:t> (</w:t>
      </w:r>
      <w:r>
        <w:rPr>
          <w:rStyle w:val="FootnoteReference"/>
          <w:noProof/>
          <w:szCs w:val="24"/>
        </w:rPr>
        <w:footnoteReference w:id="88"/>
      </w:r>
      <w:r w:rsidR="00230AD6">
        <w:rPr>
          <w:noProof/>
          <w:szCs w:val="24"/>
        </w:rPr>
        <w:t>)</w:t>
      </w:r>
      <w:r w:rsidR="000F50D6">
        <w:rPr>
          <w:noProof/>
          <w:szCs w:val="24"/>
        </w:rPr>
        <w:t>.</w:t>
      </w:r>
    </w:p>
    <w:p w14:paraId="2B042E34" w14:textId="01806ED1" w:rsidR="00C31F8E" w:rsidRDefault="00B871E4" w:rsidP="00C31F8E">
      <w:pPr>
        <w:rPr>
          <w:noProof/>
          <w:szCs w:val="24"/>
        </w:rPr>
      </w:pPr>
      <w:r w:rsidRPr="000E02E8">
        <w:rPr>
          <w:noProof/>
          <w:szCs w:val="24"/>
        </w:rPr>
        <w:t xml:space="preserve">The FSR Review Study found that the Commission </w:t>
      </w:r>
      <w:r w:rsidR="00CD2426">
        <w:rPr>
          <w:noProof/>
          <w:szCs w:val="24"/>
        </w:rPr>
        <w:t xml:space="preserve">services </w:t>
      </w:r>
      <w:r w:rsidRPr="000E02E8">
        <w:rPr>
          <w:noProof/>
          <w:szCs w:val="24"/>
        </w:rPr>
        <w:t xml:space="preserve">applied </w:t>
      </w:r>
      <w:r w:rsidR="008604C5" w:rsidRPr="000E02E8">
        <w:rPr>
          <w:noProof/>
          <w:szCs w:val="24"/>
        </w:rPr>
        <w:t xml:space="preserve">in a </w:t>
      </w:r>
      <w:r w:rsidR="001D6DE6">
        <w:rPr>
          <w:noProof/>
          <w:szCs w:val="24"/>
        </w:rPr>
        <w:t>consistent and structured</w:t>
      </w:r>
      <w:r w:rsidR="001D6DE6" w:rsidRPr="000E02E8">
        <w:rPr>
          <w:noProof/>
          <w:szCs w:val="24"/>
        </w:rPr>
        <w:t xml:space="preserve"> </w:t>
      </w:r>
      <w:r w:rsidR="008604C5" w:rsidRPr="000E02E8">
        <w:rPr>
          <w:noProof/>
          <w:szCs w:val="24"/>
        </w:rPr>
        <w:t xml:space="preserve">manner </w:t>
      </w:r>
      <w:r w:rsidRPr="000E02E8">
        <w:rPr>
          <w:noProof/>
          <w:szCs w:val="24"/>
        </w:rPr>
        <w:t>the concepts under</w:t>
      </w:r>
      <w:r>
        <w:rPr>
          <w:b/>
          <w:bCs/>
          <w:noProof/>
          <w:szCs w:val="24"/>
        </w:rPr>
        <w:t xml:space="preserve"> </w:t>
      </w:r>
      <w:r w:rsidR="00F040DB" w:rsidRPr="005F1BD2">
        <w:rPr>
          <w:noProof/>
          <w:szCs w:val="24"/>
        </w:rPr>
        <w:t>Article</w:t>
      </w:r>
      <w:r w:rsidR="00F040DB">
        <w:rPr>
          <w:noProof/>
          <w:szCs w:val="24"/>
        </w:rPr>
        <w:t> </w:t>
      </w:r>
      <w:r w:rsidR="00C31F8E" w:rsidRPr="005F1BD2">
        <w:rPr>
          <w:noProof/>
          <w:szCs w:val="24"/>
        </w:rPr>
        <w:t>3 FSR</w:t>
      </w:r>
      <w:r w:rsidRPr="005F1BD2">
        <w:rPr>
          <w:noProof/>
          <w:szCs w:val="24"/>
        </w:rPr>
        <w:t xml:space="preserve">, </w:t>
      </w:r>
      <w:r w:rsidRPr="00B871E4">
        <w:rPr>
          <w:noProof/>
          <w:szCs w:val="24"/>
        </w:rPr>
        <w:t>which</w:t>
      </w:r>
      <w:r w:rsidR="00C31F8E">
        <w:rPr>
          <w:noProof/>
          <w:szCs w:val="24"/>
        </w:rPr>
        <w:t xml:space="preserve"> identifies a list </w:t>
      </w:r>
      <w:r w:rsidR="00C31F8E" w:rsidRPr="66550AC1">
        <w:rPr>
          <w:noProof/>
          <w:szCs w:val="24"/>
        </w:rPr>
        <w:t>of</w:t>
      </w:r>
      <w:r w:rsidR="00C31F8E">
        <w:rPr>
          <w:noProof/>
          <w:szCs w:val="24"/>
        </w:rPr>
        <w:t xml:space="preserve"> FFCs, </w:t>
      </w:r>
      <w:r w:rsidR="00C31F8E" w:rsidRPr="00537828">
        <w:rPr>
          <w:noProof/>
          <w:szCs w:val="24"/>
        </w:rPr>
        <w:t>including grants, loans, guarantees, tax measures, public contracts and intra-group transactions and assessed benefit, specificity and attribution to a third country</w:t>
      </w:r>
      <w:r w:rsidR="00C31F8E">
        <w:rPr>
          <w:noProof/>
          <w:szCs w:val="24"/>
        </w:rPr>
        <w:t xml:space="preserve">. </w:t>
      </w:r>
      <w:r w:rsidR="00820267">
        <w:rPr>
          <w:noProof/>
          <w:szCs w:val="24"/>
        </w:rPr>
        <w:t>T</w:t>
      </w:r>
      <w:r w:rsidR="00820267" w:rsidRPr="00A57783">
        <w:rPr>
          <w:noProof/>
          <w:szCs w:val="24"/>
        </w:rPr>
        <w:t>he FSR Review Study found</w:t>
      </w:r>
      <w:r w:rsidR="00820267">
        <w:rPr>
          <w:noProof/>
          <w:szCs w:val="24"/>
        </w:rPr>
        <w:t>, for</w:t>
      </w:r>
      <w:r w:rsidR="00C31F8E">
        <w:rPr>
          <w:noProof/>
          <w:szCs w:val="24"/>
        </w:rPr>
        <w:t xml:space="preserve"> in-depth cases</w:t>
      </w:r>
      <w:r w:rsidR="00820267">
        <w:rPr>
          <w:noProof/>
          <w:szCs w:val="24"/>
        </w:rPr>
        <w:t xml:space="preserve"> specifically that </w:t>
      </w:r>
      <w:r w:rsidR="00C31F8E" w:rsidRPr="00AE7F7F">
        <w:rPr>
          <w:noProof/>
          <w:szCs w:val="24"/>
        </w:rPr>
        <w:t>incomplete information</w:t>
      </w:r>
      <w:r w:rsidR="00820267">
        <w:rPr>
          <w:noProof/>
          <w:szCs w:val="24"/>
        </w:rPr>
        <w:t xml:space="preserve"> meant </w:t>
      </w:r>
      <w:r w:rsidR="00C31F8E">
        <w:rPr>
          <w:noProof/>
          <w:szCs w:val="24"/>
        </w:rPr>
        <w:t>that</w:t>
      </w:r>
      <w:r w:rsidR="00C31F8E" w:rsidRPr="00AE7F7F">
        <w:rPr>
          <w:noProof/>
          <w:szCs w:val="24"/>
        </w:rPr>
        <w:t xml:space="preserve"> the Commission </w:t>
      </w:r>
      <w:r w:rsidR="00CD2426">
        <w:rPr>
          <w:noProof/>
          <w:szCs w:val="24"/>
        </w:rPr>
        <w:t xml:space="preserve">services </w:t>
      </w:r>
      <w:r w:rsidR="00C31F8E" w:rsidRPr="00AE7F7F">
        <w:rPr>
          <w:noProof/>
          <w:szCs w:val="24"/>
        </w:rPr>
        <w:t>had to make cautious inferences, applying the ‘best evidence available’ approach under Article 16</w:t>
      </w:r>
      <w:r w:rsidR="00C31F8E">
        <w:rPr>
          <w:noProof/>
          <w:szCs w:val="24"/>
        </w:rPr>
        <w:t xml:space="preserve"> FSR </w:t>
      </w:r>
      <w:r w:rsidR="00820267">
        <w:rPr>
          <w:noProof/>
          <w:szCs w:val="24"/>
        </w:rPr>
        <w:t xml:space="preserve">on </w:t>
      </w:r>
      <w:r w:rsidR="00C31F8E">
        <w:rPr>
          <w:noProof/>
          <w:szCs w:val="24"/>
        </w:rPr>
        <w:t>non-cooperation.</w:t>
      </w:r>
    </w:p>
    <w:p w14:paraId="5A6D3AE2" w14:textId="7D465159" w:rsidR="00C31F8E" w:rsidRPr="00D70BC5" w:rsidRDefault="00820267" w:rsidP="00C31F8E">
      <w:pPr>
        <w:rPr>
          <w:noProof/>
          <w:szCs w:val="24"/>
        </w:rPr>
      </w:pPr>
      <w:r>
        <w:rPr>
          <w:noProof/>
          <w:szCs w:val="24"/>
        </w:rPr>
        <w:t xml:space="preserve">An </w:t>
      </w:r>
      <w:r w:rsidR="00C31F8E">
        <w:rPr>
          <w:noProof/>
          <w:szCs w:val="24"/>
        </w:rPr>
        <w:t xml:space="preserve">assessment of </w:t>
      </w:r>
      <w:r>
        <w:rPr>
          <w:noProof/>
          <w:szCs w:val="24"/>
        </w:rPr>
        <w:t>how</w:t>
      </w:r>
      <w:r w:rsidR="00C31F8E">
        <w:rPr>
          <w:noProof/>
          <w:szCs w:val="24"/>
        </w:rPr>
        <w:t xml:space="preserve"> </w:t>
      </w:r>
      <w:r w:rsidR="00F040DB" w:rsidRPr="005F1BD2">
        <w:rPr>
          <w:noProof/>
          <w:szCs w:val="24"/>
        </w:rPr>
        <w:t>Article </w:t>
      </w:r>
      <w:r w:rsidR="00C31F8E" w:rsidRPr="005F1BD2">
        <w:rPr>
          <w:noProof/>
          <w:szCs w:val="24"/>
        </w:rPr>
        <w:t>4 FSR</w:t>
      </w:r>
      <w:r w:rsidR="00C31F8E">
        <w:rPr>
          <w:b/>
          <w:noProof/>
          <w:szCs w:val="24"/>
        </w:rPr>
        <w:t xml:space="preserve"> </w:t>
      </w:r>
      <w:r>
        <w:rPr>
          <w:noProof/>
          <w:szCs w:val="24"/>
        </w:rPr>
        <w:t>is applied to detecting</w:t>
      </w:r>
      <w:r w:rsidR="00C31F8E" w:rsidRPr="00A54061">
        <w:rPr>
          <w:noProof/>
          <w:szCs w:val="24"/>
        </w:rPr>
        <w:t xml:space="preserve"> distortion</w:t>
      </w:r>
      <w:r w:rsidR="00C31F8E">
        <w:rPr>
          <w:noProof/>
          <w:szCs w:val="24"/>
        </w:rPr>
        <w:t xml:space="preserve"> revealed that the Commission </w:t>
      </w:r>
      <w:r w:rsidR="00CD2426">
        <w:rPr>
          <w:noProof/>
          <w:szCs w:val="24"/>
        </w:rPr>
        <w:t xml:space="preserve">services </w:t>
      </w:r>
      <w:r w:rsidR="00C31F8E" w:rsidRPr="003D3116">
        <w:rPr>
          <w:noProof/>
          <w:szCs w:val="24"/>
        </w:rPr>
        <w:t xml:space="preserve">applied </w:t>
      </w:r>
      <w:r w:rsidR="00F040DB" w:rsidRPr="003D3116">
        <w:rPr>
          <w:noProof/>
          <w:szCs w:val="24"/>
        </w:rPr>
        <w:t>Article</w:t>
      </w:r>
      <w:r w:rsidR="00F040DB">
        <w:rPr>
          <w:noProof/>
          <w:szCs w:val="24"/>
        </w:rPr>
        <w:t> </w:t>
      </w:r>
      <w:r w:rsidR="00C31F8E" w:rsidRPr="003D3116">
        <w:rPr>
          <w:noProof/>
          <w:szCs w:val="24"/>
        </w:rPr>
        <w:t>4(1)</w:t>
      </w:r>
      <w:r w:rsidR="00C31F8E">
        <w:rPr>
          <w:noProof/>
          <w:szCs w:val="24"/>
        </w:rPr>
        <w:t xml:space="preserve"> FSR</w:t>
      </w:r>
      <w:r w:rsidR="00C31F8E" w:rsidRPr="003D3116">
        <w:rPr>
          <w:noProof/>
          <w:szCs w:val="24"/>
        </w:rPr>
        <w:t xml:space="preserve"> indicators consistently across all decisions, </w:t>
      </w:r>
      <w:r w:rsidR="00B871E4">
        <w:rPr>
          <w:noProof/>
          <w:szCs w:val="24"/>
        </w:rPr>
        <w:t>following the procedure set out by the FSR Guidelines.</w:t>
      </w:r>
      <w:r w:rsidR="00C31F8E">
        <w:rPr>
          <w:noProof/>
          <w:szCs w:val="24"/>
        </w:rPr>
        <w:t xml:space="preserve"> This </w:t>
      </w:r>
      <w:r>
        <w:rPr>
          <w:noProof/>
          <w:szCs w:val="24"/>
        </w:rPr>
        <w:t xml:space="preserve">also </w:t>
      </w:r>
      <w:r w:rsidR="00C31F8E">
        <w:rPr>
          <w:noProof/>
          <w:szCs w:val="24"/>
        </w:rPr>
        <w:t xml:space="preserve">applies to cases where incomplete information submitted by the economic operators resulted in reliance on </w:t>
      </w:r>
      <w:r w:rsidR="00F040DB">
        <w:rPr>
          <w:noProof/>
          <w:szCs w:val="24"/>
        </w:rPr>
        <w:t>Article </w:t>
      </w:r>
      <w:r w:rsidR="00C31F8E">
        <w:rPr>
          <w:noProof/>
          <w:szCs w:val="24"/>
        </w:rPr>
        <w:t xml:space="preserve">16 FSR. </w:t>
      </w:r>
    </w:p>
    <w:p w14:paraId="2B78E092" w14:textId="764D9662" w:rsidR="00C31F8E" w:rsidRDefault="00820267" w:rsidP="00C31F8E">
      <w:pPr>
        <w:pStyle w:val="Text2"/>
        <w:ind w:left="0"/>
        <w:rPr>
          <w:noProof/>
        </w:rPr>
      </w:pPr>
      <w:r>
        <w:rPr>
          <w:noProof/>
        </w:rPr>
        <w:t>T</w:t>
      </w:r>
      <w:r w:rsidR="00C31F8E">
        <w:rPr>
          <w:noProof/>
        </w:rPr>
        <w:t xml:space="preserve">he findings of the FSR Review Study </w:t>
      </w:r>
      <w:r>
        <w:rPr>
          <w:noProof/>
        </w:rPr>
        <w:t xml:space="preserve">on </w:t>
      </w:r>
      <w:r w:rsidRPr="00A57783">
        <w:rPr>
          <w:noProof/>
        </w:rPr>
        <w:t xml:space="preserve">the notification thresholds set out in </w:t>
      </w:r>
      <w:r w:rsidRPr="005F1BD2">
        <w:rPr>
          <w:noProof/>
        </w:rPr>
        <w:t>Article 28(1) and (2) FSR</w:t>
      </w:r>
      <w:r w:rsidRPr="00A57783">
        <w:rPr>
          <w:noProof/>
        </w:rPr>
        <w:t xml:space="preserve"> </w:t>
      </w:r>
      <w:r w:rsidR="00C31F8E">
        <w:rPr>
          <w:noProof/>
        </w:rPr>
        <w:t>are summarised together with the Commission</w:t>
      </w:r>
      <w:r w:rsidR="00F040DB">
        <w:rPr>
          <w:noProof/>
        </w:rPr>
        <w:t xml:space="preserve"> service</w:t>
      </w:r>
      <w:r w:rsidR="00C31F8E">
        <w:rPr>
          <w:noProof/>
        </w:rPr>
        <w:t>s</w:t>
      </w:r>
      <w:r w:rsidR="00F040DB">
        <w:rPr>
          <w:noProof/>
        </w:rPr>
        <w:t>’</w:t>
      </w:r>
      <w:r w:rsidR="00C31F8E">
        <w:rPr>
          <w:noProof/>
        </w:rPr>
        <w:t xml:space="preserve"> findings in Section </w:t>
      </w:r>
      <w:r>
        <w:rPr>
          <w:noProof/>
        </w:rPr>
        <w:t>(</w:t>
      </w:r>
      <w:r w:rsidR="00C31F8E">
        <w:rPr>
          <w:noProof/>
        </w:rPr>
        <w:fldChar w:fldCharType="begin"/>
      </w:r>
      <w:r w:rsidR="00C31F8E">
        <w:rPr>
          <w:noProof/>
        </w:rPr>
        <w:instrText xml:space="preserve"> REF _Ref227665968 \r \h </w:instrText>
      </w:r>
      <w:r w:rsidR="00C31F8E">
        <w:rPr>
          <w:noProof/>
        </w:rPr>
      </w:r>
      <w:r w:rsidR="00C31F8E">
        <w:rPr>
          <w:noProof/>
        </w:rPr>
        <w:fldChar w:fldCharType="separate"/>
      </w:r>
      <w:r w:rsidR="00227418">
        <w:rPr>
          <w:noProof/>
        </w:rPr>
        <w:t>e)</w:t>
      </w:r>
      <w:r w:rsidR="00C31F8E">
        <w:rPr>
          <w:noProof/>
        </w:rPr>
        <w:fldChar w:fldCharType="end"/>
      </w:r>
      <w:r w:rsidR="00C31F8E">
        <w:rPr>
          <w:noProof/>
        </w:rPr>
        <w:t xml:space="preserve">. </w:t>
      </w:r>
      <w:r>
        <w:rPr>
          <w:noProof/>
        </w:rPr>
        <w:t>E</w:t>
      </w:r>
      <w:r w:rsidR="00C31F8E">
        <w:rPr>
          <w:noProof/>
        </w:rPr>
        <w:t xml:space="preserve">conomic operators displayed significant and recurring misunderstandings of </w:t>
      </w:r>
      <w:r w:rsidR="00F040DB">
        <w:rPr>
          <w:noProof/>
        </w:rPr>
        <w:t>Article </w:t>
      </w:r>
      <w:r w:rsidR="00C31F8E">
        <w:rPr>
          <w:noProof/>
        </w:rPr>
        <w:t>28(1)(b) FSR</w:t>
      </w:r>
      <w:r>
        <w:rPr>
          <w:noProof/>
        </w:rPr>
        <w:t xml:space="preserve"> relating to the FFC threshold</w:t>
      </w:r>
      <w:r w:rsidR="00C31F8E">
        <w:rPr>
          <w:noProof/>
        </w:rPr>
        <w:t xml:space="preserve">, including confusion </w:t>
      </w:r>
      <w:r>
        <w:rPr>
          <w:noProof/>
        </w:rPr>
        <w:t xml:space="preserve">about </w:t>
      </w:r>
      <w:r w:rsidR="00C31F8E">
        <w:rPr>
          <w:noProof/>
        </w:rPr>
        <w:t>the calculation of the aggregate amount of FFCs received</w:t>
      </w:r>
      <w:r w:rsidR="00230AD6" w:rsidRPr="00230AD6">
        <w:rPr>
          <w:noProof/>
        </w:rPr>
        <w:t> (</w:t>
      </w:r>
      <w:r w:rsidR="00C31F8E">
        <w:rPr>
          <w:rStyle w:val="FootnoteReference"/>
          <w:noProof/>
        </w:rPr>
        <w:footnoteReference w:id="89"/>
      </w:r>
      <w:r w:rsidR="00230AD6">
        <w:rPr>
          <w:noProof/>
        </w:rPr>
        <w:t>)</w:t>
      </w:r>
      <w:r w:rsidR="000F50D6">
        <w:rPr>
          <w:noProof/>
        </w:rPr>
        <w:t>.</w:t>
      </w:r>
      <w:r w:rsidR="00C31F8E">
        <w:rPr>
          <w:noProof/>
        </w:rPr>
        <w:t xml:space="preserve"> In this context, the requirements of Table 1 of </w:t>
      </w:r>
      <w:r w:rsidR="00B10957">
        <w:rPr>
          <w:noProof/>
        </w:rPr>
        <w:t>Form FS-PP</w:t>
      </w:r>
      <w:r w:rsidR="00C31F8E">
        <w:rPr>
          <w:noProof/>
        </w:rPr>
        <w:t xml:space="preserve"> were often not met by economic operators and some economic operators refused to provide replies to </w:t>
      </w:r>
      <w:r w:rsidR="00B707AE">
        <w:rPr>
          <w:noProof/>
        </w:rPr>
        <w:t>R</w:t>
      </w:r>
      <w:r>
        <w:rPr>
          <w:noProof/>
        </w:rPr>
        <w:t>f</w:t>
      </w:r>
      <w:r w:rsidR="00B707AE">
        <w:rPr>
          <w:noProof/>
        </w:rPr>
        <w:t>I</w:t>
      </w:r>
      <w:r w:rsidR="00C31F8E">
        <w:rPr>
          <w:noProof/>
        </w:rPr>
        <w:t xml:space="preserve">s. The main issues were linked to the lack of evidence on the ring-fencing of FFCs (i.e. their clear segregation across entities) and, consequently, to insufficient information on FFCs provided to entities outside of the vertical line of control of the economic operator, as well as to the incorrect application of the exceptions and misunderstandings </w:t>
      </w:r>
      <w:r>
        <w:rPr>
          <w:noProof/>
        </w:rPr>
        <w:t xml:space="preserve">about </w:t>
      </w:r>
      <w:r w:rsidR="00C31F8E">
        <w:rPr>
          <w:noProof/>
        </w:rPr>
        <w:t>the relevant date for reporting.</w:t>
      </w:r>
    </w:p>
    <w:p w14:paraId="574C0D2A" w14:textId="5595F4EB" w:rsidR="00C31F8E" w:rsidRDefault="003F7A9B" w:rsidP="00C31F8E">
      <w:pPr>
        <w:pStyle w:val="Text2"/>
        <w:ind w:left="0"/>
        <w:rPr>
          <w:noProof/>
        </w:rPr>
      </w:pPr>
      <w:r>
        <w:rPr>
          <w:noProof/>
        </w:rPr>
        <w:t>T</w:t>
      </w:r>
      <w:r w:rsidR="00C31F8E">
        <w:rPr>
          <w:noProof/>
        </w:rPr>
        <w:t xml:space="preserve">he FSR Review Study found that on the basis of the sampled cases, the Commission’s practice </w:t>
      </w:r>
      <w:r>
        <w:rPr>
          <w:noProof/>
        </w:rPr>
        <w:t>on</w:t>
      </w:r>
      <w:r w:rsidRPr="00A57783">
        <w:rPr>
          <w:noProof/>
        </w:rPr>
        <w:t xml:space="preserve"> procedural rules timelines pursuant to </w:t>
      </w:r>
      <w:r w:rsidRPr="005F1BD2">
        <w:rPr>
          <w:noProof/>
        </w:rPr>
        <w:t>Article 29 and 30 FSR</w:t>
      </w:r>
      <w:r>
        <w:rPr>
          <w:noProof/>
        </w:rPr>
        <w:t xml:space="preserve"> </w:t>
      </w:r>
      <w:r w:rsidR="00C31F8E">
        <w:rPr>
          <w:noProof/>
        </w:rPr>
        <w:t xml:space="preserve">was consistent, </w:t>
      </w:r>
      <w:r>
        <w:rPr>
          <w:noProof/>
        </w:rPr>
        <w:t xml:space="preserve">that </w:t>
      </w:r>
      <w:r w:rsidR="00C31F8E">
        <w:rPr>
          <w:noProof/>
        </w:rPr>
        <w:t>its assessment respected 20 working days for preliminary review in open procedures, and that it suspended the preliminary review in case of multi-stage procedures. Further to that, the FSR Review Study did not assess the Commission’s practice in extending the timeline of the preliminary review or in-depth investigation, as the first deadline extension in an in-depth investigation took place after conclusion of the FSR Review Study.</w:t>
      </w:r>
    </w:p>
    <w:p w14:paraId="1BA1F314" w14:textId="11206A1F" w:rsidR="00C31F8E" w:rsidRDefault="00C31F8E" w:rsidP="00C31F8E">
      <w:pPr>
        <w:pStyle w:val="Text2"/>
        <w:ind w:left="0"/>
        <w:rPr>
          <w:noProof/>
          <w:lang w:val="en-US"/>
        </w:rPr>
      </w:pPr>
      <w:r>
        <w:rPr>
          <w:noProof/>
          <w:lang w:val="en-US"/>
        </w:rPr>
        <w:t>Overall, the FSR Review Study found that</w:t>
      </w:r>
      <w:r>
        <w:rPr>
          <w:noProof/>
        </w:rPr>
        <w:t xml:space="preserve"> early public procurement case practice demonstrates that the Commission </w:t>
      </w:r>
      <w:r w:rsidR="00CD2426">
        <w:rPr>
          <w:noProof/>
        </w:rPr>
        <w:t xml:space="preserve">services </w:t>
      </w:r>
      <w:r>
        <w:rPr>
          <w:noProof/>
        </w:rPr>
        <w:t>ha</w:t>
      </w:r>
      <w:r w:rsidR="00CD2426">
        <w:rPr>
          <w:noProof/>
        </w:rPr>
        <w:t>ve</w:t>
      </w:r>
      <w:r>
        <w:rPr>
          <w:noProof/>
        </w:rPr>
        <w:t xml:space="preserve"> applied the FSR in a structured, coherent and cautious manner. As the FSR Review Study concludes, the main operational challenges arise </w:t>
      </w:r>
      <w:r w:rsidDel="00F64299">
        <w:rPr>
          <w:noProof/>
        </w:rPr>
        <w:t>from incomplete or incorrect submissions by economic operators</w:t>
      </w:r>
      <w:r>
        <w:rPr>
          <w:noProof/>
        </w:rPr>
        <w:t xml:space="preserve">. Therefore, potential </w:t>
      </w:r>
      <w:r w:rsidR="007A3981">
        <w:rPr>
          <w:noProof/>
        </w:rPr>
        <w:t>target</w:t>
      </w:r>
      <w:r>
        <w:rPr>
          <w:noProof/>
        </w:rPr>
        <w:t>ed streamlining of the reporting obligation and additional guidance and awareness raising both on substantive and technical aspects of the notifications under the public procurement module of FSR may further enhance its effectiveness.</w:t>
      </w:r>
    </w:p>
    <w:p w14:paraId="2EF7128B" w14:textId="6B4F6666" w:rsidR="00C31F8E" w:rsidRDefault="00C31F8E" w:rsidP="00836900">
      <w:pPr>
        <w:pStyle w:val="Heading4"/>
        <w:rPr>
          <w:noProof/>
          <w:lang w:eastAsia="en-IE"/>
        </w:rPr>
      </w:pPr>
      <w:bookmarkStart w:id="149" w:name="_Toc228286509"/>
      <w:bookmarkStart w:id="150" w:name="_Toc234227881"/>
      <w:r>
        <w:rPr>
          <w:noProof/>
          <w:lang w:eastAsia="en-IE"/>
        </w:rPr>
        <w:t>The Commission’s assessment</w:t>
      </w:r>
      <w:bookmarkEnd w:id="149"/>
      <w:bookmarkEnd w:id="150"/>
    </w:p>
    <w:p w14:paraId="578F34E3" w14:textId="6302B64C" w:rsidR="00C31F8E" w:rsidRDefault="00C31F8E" w:rsidP="00C31F8E">
      <w:pPr>
        <w:spacing w:after="240"/>
        <w:rPr>
          <w:noProof/>
          <w:szCs w:val="24"/>
        </w:rPr>
      </w:pPr>
      <w:r w:rsidRPr="00CD7906">
        <w:rPr>
          <w:noProof/>
          <w:szCs w:val="24"/>
        </w:rPr>
        <w:t xml:space="preserve">The Commission’s early enforcement of the FSR public procurement module offers valuable insights into </w:t>
      </w:r>
      <w:r w:rsidRPr="4C00D839">
        <w:rPr>
          <w:noProof/>
          <w:szCs w:val="24"/>
        </w:rPr>
        <w:t>its</w:t>
      </w:r>
      <w:r>
        <w:rPr>
          <w:noProof/>
          <w:szCs w:val="24"/>
        </w:rPr>
        <w:t xml:space="preserve"> effectiveness</w:t>
      </w:r>
      <w:r w:rsidRPr="00CD7906">
        <w:rPr>
          <w:noProof/>
          <w:szCs w:val="24"/>
        </w:rPr>
        <w:t xml:space="preserve"> </w:t>
      </w:r>
      <w:r>
        <w:rPr>
          <w:noProof/>
          <w:szCs w:val="24"/>
        </w:rPr>
        <w:t>to</w:t>
      </w:r>
      <w:r w:rsidRPr="00CD7906">
        <w:rPr>
          <w:noProof/>
          <w:szCs w:val="24"/>
        </w:rPr>
        <w:t xml:space="preserve"> address distortive foreign subsidies and </w:t>
      </w:r>
      <w:r>
        <w:rPr>
          <w:noProof/>
          <w:szCs w:val="24"/>
        </w:rPr>
        <w:t>safeguard</w:t>
      </w:r>
      <w:r w:rsidRPr="00CD7906">
        <w:rPr>
          <w:noProof/>
          <w:szCs w:val="24"/>
        </w:rPr>
        <w:t xml:space="preserve"> fair competition in the internal market. </w:t>
      </w:r>
      <w:r w:rsidRPr="006D3EE8">
        <w:rPr>
          <w:noProof/>
          <w:szCs w:val="24"/>
        </w:rPr>
        <w:t xml:space="preserve">Overall, early practice indicates that the framework is operational and achieving its core objectives, </w:t>
      </w:r>
      <w:r w:rsidRPr="00761737">
        <w:rPr>
          <w:noProof/>
          <w:szCs w:val="24"/>
        </w:rPr>
        <w:t xml:space="preserve">while also revealing areas where further refinement </w:t>
      </w:r>
      <w:r w:rsidR="00D849A9">
        <w:rPr>
          <w:noProof/>
          <w:szCs w:val="24"/>
        </w:rPr>
        <w:t>would be</w:t>
      </w:r>
      <w:r w:rsidR="00D849A9" w:rsidRPr="00761737">
        <w:rPr>
          <w:noProof/>
          <w:szCs w:val="24"/>
        </w:rPr>
        <w:t xml:space="preserve"> </w:t>
      </w:r>
      <w:r w:rsidR="00D849A9">
        <w:rPr>
          <w:noProof/>
          <w:szCs w:val="24"/>
        </w:rPr>
        <w:t>useful</w:t>
      </w:r>
      <w:r w:rsidRPr="00761737">
        <w:rPr>
          <w:noProof/>
          <w:szCs w:val="24"/>
        </w:rPr>
        <w:t>.</w:t>
      </w:r>
    </w:p>
    <w:p w14:paraId="2BECD2DD" w14:textId="105BD408" w:rsidR="00C31F8E" w:rsidRDefault="00C31F8E" w:rsidP="00C31F8E">
      <w:pPr>
        <w:spacing w:after="240"/>
        <w:rPr>
          <w:noProof/>
          <w:szCs w:val="24"/>
        </w:rPr>
      </w:pPr>
      <w:r w:rsidRPr="00B65214">
        <w:rPr>
          <w:noProof/>
          <w:szCs w:val="24"/>
        </w:rPr>
        <w:t xml:space="preserve">First, as regards efficiency, </w:t>
      </w:r>
      <w:r>
        <w:rPr>
          <w:noProof/>
          <w:szCs w:val="24"/>
        </w:rPr>
        <w:t>w</w:t>
      </w:r>
      <w:r w:rsidRPr="00B65214">
        <w:rPr>
          <w:noProof/>
          <w:szCs w:val="24"/>
        </w:rPr>
        <w:t xml:space="preserve">hile the number of </w:t>
      </w:r>
      <w:r>
        <w:rPr>
          <w:noProof/>
          <w:szCs w:val="24"/>
        </w:rPr>
        <w:t>submissions</w:t>
      </w:r>
      <w:r w:rsidRPr="00B65214">
        <w:rPr>
          <w:noProof/>
          <w:szCs w:val="24"/>
        </w:rPr>
        <w:t xml:space="preserve"> received has significantly exceeded initial expectations</w:t>
      </w:r>
      <w:r w:rsidR="00CC00A9" w:rsidRPr="00CC00A9">
        <w:rPr>
          <w:noProof/>
          <w:szCs w:val="24"/>
        </w:rPr>
        <w:t> (</w:t>
      </w:r>
      <w:r w:rsidR="00CC00A9">
        <w:rPr>
          <w:rStyle w:val="FootnoteReference"/>
          <w:noProof/>
          <w:szCs w:val="24"/>
        </w:rPr>
        <w:footnoteReference w:id="90"/>
      </w:r>
      <w:r w:rsidR="00CC00A9">
        <w:rPr>
          <w:noProof/>
          <w:szCs w:val="24"/>
        </w:rPr>
        <w:t>)</w:t>
      </w:r>
      <w:r w:rsidRPr="00B65214">
        <w:rPr>
          <w:noProof/>
          <w:szCs w:val="24"/>
        </w:rPr>
        <w:t xml:space="preserve">, </w:t>
      </w:r>
      <w:bookmarkStart w:id="151" w:name="_Hlk228809635"/>
      <w:r w:rsidRPr="00B65214">
        <w:rPr>
          <w:noProof/>
          <w:szCs w:val="24"/>
        </w:rPr>
        <w:t xml:space="preserve">only a limited proportion of cases have required </w:t>
      </w:r>
      <w:r>
        <w:rPr>
          <w:noProof/>
          <w:szCs w:val="24"/>
        </w:rPr>
        <w:t>further</w:t>
      </w:r>
      <w:r w:rsidRPr="00B65214">
        <w:rPr>
          <w:noProof/>
          <w:szCs w:val="24"/>
        </w:rPr>
        <w:t xml:space="preserve"> scrutiny.</w:t>
      </w:r>
      <w:bookmarkEnd w:id="151"/>
      <w:r w:rsidRPr="00B65214">
        <w:rPr>
          <w:noProof/>
          <w:szCs w:val="24"/>
        </w:rPr>
        <w:t xml:space="preserve"> To date, the Commission has opened </w:t>
      </w:r>
      <w:r>
        <w:rPr>
          <w:noProof/>
          <w:szCs w:val="24"/>
        </w:rPr>
        <w:t>four</w:t>
      </w:r>
      <w:r w:rsidRPr="00B65214">
        <w:rPr>
          <w:noProof/>
          <w:szCs w:val="24"/>
        </w:rPr>
        <w:t xml:space="preserve"> in-depth investigations</w:t>
      </w:r>
      <w:r>
        <w:rPr>
          <w:noProof/>
          <w:szCs w:val="24"/>
        </w:rPr>
        <w:t>,</w:t>
      </w:r>
      <w:r w:rsidRPr="00B65214">
        <w:rPr>
          <w:noProof/>
          <w:szCs w:val="24"/>
        </w:rPr>
        <w:t xml:space="preserve"> one </w:t>
      </w:r>
      <w:r>
        <w:rPr>
          <w:noProof/>
          <w:szCs w:val="24"/>
        </w:rPr>
        <w:t>of which resulted</w:t>
      </w:r>
      <w:r w:rsidRPr="00B65214">
        <w:rPr>
          <w:noProof/>
          <w:szCs w:val="24"/>
        </w:rPr>
        <w:t xml:space="preserve"> in a decision with commitments</w:t>
      </w:r>
      <w:r>
        <w:rPr>
          <w:noProof/>
          <w:szCs w:val="24"/>
        </w:rPr>
        <w:t>, while three closed following the withdrawal of the economic operators</w:t>
      </w:r>
      <w:r w:rsidRPr="00B65214">
        <w:rPr>
          <w:noProof/>
          <w:szCs w:val="24"/>
        </w:rPr>
        <w:t xml:space="preserve">. In addition, </w:t>
      </w:r>
      <w:r>
        <w:rPr>
          <w:noProof/>
          <w:szCs w:val="24"/>
        </w:rPr>
        <w:t xml:space="preserve">the </w:t>
      </w:r>
      <w:r w:rsidRPr="006F01BF">
        <w:rPr>
          <w:noProof/>
          <w:szCs w:val="24"/>
        </w:rPr>
        <w:t xml:space="preserve">Commission has declared two </w:t>
      </w:r>
      <w:r w:rsidR="00454446" w:rsidRPr="006F01BF">
        <w:rPr>
          <w:noProof/>
          <w:szCs w:val="24"/>
        </w:rPr>
        <w:t>tender’s</w:t>
      </w:r>
      <w:r w:rsidRPr="006F01BF">
        <w:rPr>
          <w:noProof/>
          <w:szCs w:val="24"/>
        </w:rPr>
        <w:t xml:space="preserve"> irregular, </w:t>
      </w:r>
      <w:r w:rsidRPr="002E5060">
        <w:rPr>
          <w:noProof/>
          <w:szCs w:val="24"/>
        </w:rPr>
        <w:t>opened one ex-officio investigation that is currently in preliminary review stage</w:t>
      </w:r>
      <w:r>
        <w:rPr>
          <w:noProof/>
          <w:szCs w:val="24"/>
        </w:rPr>
        <w:t xml:space="preserve"> </w:t>
      </w:r>
      <w:r w:rsidRPr="006F01BF">
        <w:rPr>
          <w:noProof/>
          <w:szCs w:val="24"/>
        </w:rPr>
        <w:t xml:space="preserve">and </w:t>
      </w:r>
      <w:r>
        <w:rPr>
          <w:noProof/>
          <w:szCs w:val="24"/>
        </w:rPr>
        <w:t>issued</w:t>
      </w:r>
      <w:r w:rsidRPr="006F01BF">
        <w:rPr>
          <w:noProof/>
          <w:szCs w:val="24"/>
        </w:rPr>
        <w:t xml:space="preserve"> one request for prior notification (call-in). </w:t>
      </w:r>
    </w:p>
    <w:p w14:paraId="421ACB62" w14:textId="7C73D5FC" w:rsidR="002E5060" w:rsidRPr="002E5060" w:rsidRDefault="00C31F8E" w:rsidP="002E5060">
      <w:pPr>
        <w:spacing w:after="240"/>
        <w:rPr>
          <w:noProof/>
          <w:color w:val="156082" w:themeColor="accent1"/>
          <w:szCs w:val="24"/>
        </w:rPr>
      </w:pPr>
      <w:bookmarkStart w:id="152" w:name="_Hlk228809580"/>
      <w:r w:rsidRPr="00B65214">
        <w:rPr>
          <w:noProof/>
          <w:szCs w:val="24"/>
        </w:rPr>
        <w:t xml:space="preserve">Although </w:t>
      </w:r>
      <w:r>
        <w:rPr>
          <w:noProof/>
          <w:szCs w:val="24"/>
        </w:rPr>
        <w:t>these figures</w:t>
      </w:r>
      <w:r w:rsidRPr="00B65214">
        <w:rPr>
          <w:noProof/>
          <w:szCs w:val="24"/>
        </w:rPr>
        <w:t xml:space="preserve"> may raise questions </w:t>
      </w:r>
      <w:r w:rsidR="003F7A9B">
        <w:rPr>
          <w:noProof/>
          <w:szCs w:val="24"/>
        </w:rPr>
        <w:t xml:space="preserve">about </w:t>
      </w:r>
      <w:r>
        <w:rPr>
          <w:noProof/>
          <w:szCs w:val="24"/>
        </w:rPr>
        <w:t>the FSR’s</w:t>
      </w:r>
      <w:r w:rsidRPr="00B65214">
        <w:rPr>
          <w:noProof/>
          <w:szCs w:val="24"/>
        </w:rPr>
        <w:t xml:space="preserve"> proportionality, it is important to interpret the</w:t>
      </w:r>
      <w:r>
        <w:rPr>
          <w:noProof/>
          <w:szCs w:val="24"/>
        </w:rPr>
        <w:t>m</w:t>
      </w:r>
      <w:r w:rsidRPr="00B65214">
        <w:rPr>
          <w:noProof/>
          <w:szCs w:val="24"/>
        </w:rPr>
        <w:t xml:space="preserve"> in light of </w:t>
      </w:r>
      <w:r w:rsidR="003F7A9B">
        <w:rPr>
          <w:noProof/>
          <w:szCs w:val="24"/>
        </w:rPr>
        <w:t xml:space="preserve">its </w:t>
      </w:r>
      <w:r w:rsidRPr="00B65214">
        <w:rPr>
          <w:noProof/>
          <w:szCs w:val="24"/>
        </w:rPr>
        <w:t xml:space="preserve">deterrent effect. Early enforcement suggests that the FSR is already influencing market </w:t>
      </w:r>
      <w:r w:rsidR="00420C7E" w:rsidRPr="674664EB">
        <w:rPr>
          <w:noProof/>
          <w:szCs w:val="24"/>
        </w:rPr>
        <w:t>behaviour</w:t>
      </w:r>
      <w:r>
        <w:rPr>
          <w:noProof/>
          <w:szCs w:val="24"/>
        </w:rPr>
        <w:t xml:space="preserve"> as in several cases the Commission </w:t>
      </w:r>
      <w:r w:rsidR="00CD2426">
        <w:rPr>
          <w:noProof/>
          <w:szCs w:val="24"/>
        </w:rPr>
        <w:t xml:space="preserve">services </w:t>
      </w:r>
      <w:r w:rsidR="003F7A9B">
        <w:rPr>
          <w:noProof/>
          <w:szCs w:val="24"/>
        </w:rPr>
        <w:t>ha</w:t>
      </w:r>
      <w:r w:rsidR="00CD2426">
        <w:rPr>
          <w:noProof/>
          <w:szCs w:val="24"/>
        </w:rPr>
        <w:t>ve</w:t>
      </w:r>
      <w:r w:rsidR="003F7A9B">
        <w:rPr>
          <w:noProof/>
          <w:szCs w:val="24"/>
        </w:rPr>
        <w:t xml:space="preserve"> </w:t>
      </w:r>
      <w:r>
        <w:rPr>
          <w:noProof/>
          <w:szCs w:val="24"/>
        </w:rPr>
        <w:t xml:space="preserve">observed that </w:t>
      </w:r>
      <w:r w:rsidRPr="00B65214">
        <w:rPr>
          <w:noProof/>
          <w:szCs w:val="24"/>
        </w:rPr>
        <w:t xml:space="preserve">economic operators may choose to bid </w:t>
      </w:r>
      <w:r>
        <w:rPr>
          <w:noProof/>
          <w:szCs w:val="24"/>
        </w:rPr>
        <w:t xml:space="preserve">only </w:t>
      </w:r>
      <w:r w:rsidRPr="00B65214">
        <w:rPr>
          <w:noProof/>
          <w:szCs w:val="24"/>
        </w:rPr>
        <w:t xml:space="preserve">in procedures </w:t>
      </w:r>
      <w:r>
        <w:rPr>
          <w:noProof/>
          <w:szCs w:val="24"/>
        </w:rPr>
        <w:t>below</w:t>
      </w:r>
      <w:r w:rsidRPr="00B65214">
        <w:rPr>
          <w:noProof/>
          <w:szCs w:val="24"/>
        </w:rPr>
        <w:t xml:space="preserve"> the </w:t>
      </w:r>
      <w:r w:rsidR="004F7773">
        <w:rPr>
          <w:noProof/>
          <w:szCs w:val="24"/>
        </w:rPr>
        <w:t>EUR </w:t>
      </w:r>
      <w:r w:rsidRPr="00B65214">
        <w:rPr>
          <w:noProof/>
          <w:szCs w:val="24"/>
        </w:rPr>
        <w:t>250 million threshold,</w:t>
      </w:r>
      <w:r>
        <w:rPr>
          <w:noProof/>
          <w:szCs w:val="24"/>
        </w:rPr>
        <w:t xml:space="preserve"> refrain from participating in certain tenders</w:t>
      </w:r>
      <w:r w:rsidRPr="30062FAB">
        <w:rPr>
          <w:noProof/>
          <w:szCs w:val="24"/>
        </w:rPr>
        <w:t xml:space="preserve">, </w:t>
      </w:r>
      <w:r w:rsidRPr="4C00D839">
        <w:rPr>
          <w:noProof/>
          <w:szCs w:val="24"/>
        </w:rPr>
        <w:t>participate</w:t>
      </w:r>
      <w:r w:rsidRPr="516285D7">
        <w:rPr>
          <w:noProof/>
          <w:szCs w:val="24"/>
        </w:rPr>
        <w:t xml:space="preserve"> only as subcontractors or suppliers rather than as consortium </w:t>
      </w:r>
      <w:r w:rsidRPr="3BC67B46">
        <w:rPr>
          <w:noProof/>
          <w:szCs w:val="24"/>
        </w:rPr>
        <w:t>members</w:t>
      </w:r>
      <w:r>
        <w:rPr>
          <w:noProof/>
          <w:szCs w:val="24"/>
        </w:rPr>
        <w:t xml:space="preserve"> or withdraw </w:t>
      </w:r>
      <w:r w:rsidRPr="00B65214">
        <w:rPr>
          <w:noProof/>
          <w:szCs w:val="24"/>
        </w:rPr>
        <w:t>from ongoing procurement procedures</w:t>
      </w:r>
      <w:r>
        <w:rPr>
          <w:noProof/>
          <w:szCs w:val="24"/>
        </w:rPr>
        <w:t xml:space="preserve">, </w:t>
      </w:r>
      <w:r w:rsidRPr="00B65214">
        <w:rPr>
          <w:noProof/>
          <w:szCs w:val="24"/>
        </w:rPr>
        <w:t>often in the face of potential scrutin</w:t>
      </w:r>
      <w:r>
        <w:rPr>
          <w:noProof/>
          <w:szCs w:val="24"/>
        </w:rPr>
        <w:t xml:space="preserve">y. </w:t>
      </w:r>
      <w:r w:rsidR="002E5060" w:rsidRPr="002E5060">
        <w:rPr>
          <w:noProof/>
          <w:szCs w:val="24"/>
        </w:rPr>
        <w:t xml:space="preserve">This appears to reflect a reluctance on the part of certain economic operators to subject themselves to FSR review, rather than a response to the administrative burden of the FSR. Withdrawals seem to suggest that FSR may be functioning as a </w:t>
      </w:r>
      <w:r w:rsidR="007A3981">
        <w:rPr>
          <w:noProof/>
          <w:szCs w:val="24"/>
        </w:rPr>
        <w:t>target</w:t>
      </w:r>
      <w:r w:rsidR="002E5060" w:rsidRPr="002E5060">
        <w:rPr>
          <w:noProof/>
          <w:szCs w:val="24"/>
        </w:rPr>
        <w:t xml:space="preserve">ed filter </w:t>
      </w:r>
      <w:r w:rsidR="00D849A9">
        <w:rPr>
          <w:noProof/>
          <w:szCs w:val="24"/>
        </w:rPr>
        <w:t>for</w:t>
      </w:r>
      <w:r w:rsidR="006A2070">
        <w:rPr>
          <w:noProof/>
          <w:szCs w:val="24"/>
        </w:rPr>
        <w:t xml:space="preserve"> </w:t>
      </w:r>
      <w:r w:rsidR="002E5060" w:rsidRPr="002E5060">
        <w:rPr>
          <w:noProof/>
          <w:szCs w:val="24"/>
        </w:rPr>
        <w:t xml:space="preserve">economic operators </w:t>
      </w:r>
      <w:r w:rsidR="00C03A47">
        <w:rPr>
          <w:noProof/>
          <w:szCs w:val="24"/>
        </w:rPr>
        <w:t>that</w:t>
      </w:r>
      <w:r w:rsidR="006A2070">
        <w:rPr>
          <w:noProof/>
          <w:szCs w:val="24"/>
        </w:rPr>
        <w:t xml:space="preserve"> are </w:t>
      </w:r>
      <w:r w:rsidR="002E5060" w:rsidRPr="002E5060">
        <w:rPr>
          <w:noProof/>
          <w:szCs w:val="24"/>
        </w:rPr>
        <w:t xml:space="preserve">reluctant to </w:t>
      </w:r>
      <w:r w:rsidR="006A2070">
        <w:rPr>
          <w:noProof/>
          <w:szCs w:val="24"/>
        </w:rPr>
        <w:t>disclose</w:t>
      </w:r>
      <w:r w:rsidR="006A2070" w:rsidRPr="002E5060">
        <w:rPr>
          <w:noProof/>
          <w:szCs w:val="24"/>
        </w:rPr>
        <w:t xml:space="preserve"> </w:t>
      </w:r>
      <w:r w:rsidR="002E5060" w:rsidRPr="002E5060">
        <w:rPr>
          <w:noProof/>
          <w:szCs w:val="24"/>
        </w:rPr>
        <w:t>information on received</w:t>
      </w:r>
      <w:r w:rsidR="006A2070">
        <w:rPr>
          <w:noProof/>
          <w:szCs w:val="24"/>
        </w:rPr>
        <w:t xml:space="preserve"> FFCs</w:t>
      </w:r>
      <w:r w:rsidR="002E5060" w:rsidRPr="002E5060">
        <w:rPr>
          <w:noProof/>
          <w:szCs w:val="24"/>
        </w:rPr>
        <w:t xml:space="preserve">. Such effects </w:t>
      </w:r>
      <w:r w:rsidR="006A2070">
        <w:rPr>
          <w:noProof/>
          <w:szCs w:val="24"/>
        </w:rPr>
        <w:t>indicate</w:t>
      </w:r>
      <w:r w:rsidR="002E5060" w:rsidRPr="002E5060" w:rsidDel="006A2070">
        <w:rPr>
          <w:noProof/>
          <w:szCs w:val="24"/>
        </w:rPr>
        <w:t xml:space="preserve"> </w:t>
      </w:r>
      <w:r w:rsidR="002E5060" w:rsidRPr="002E5060">
        <w:rPr>
          <w:noProof/>
          <w:szCs w:val="24"/>
        </w:rPr>
        <w:t xml:space="preserve">that the FSR is capable of achieving its purpose </w:t>
      </w:r>
      <w:r w:rsidR="006E6002">
        <w:rPr>
          <w:noProof/>
          <w:szCs w:val="24"/>
        </w:rPr>
        <w:t>in</w:t>
      </w:r>
      <w:r w:rsidR="002E5060" w:rsidRPr="002E5060">
        <w:rPr>
          <w:noProof/>
          <w:szCs w:val="24"/>
        </w:rPr>
        <w:t xml:space="preserve"> </w:t>
      </w:r>
      <w:r w:rsidR="006A2070">
        <w:rPr>
          <w:noProof/>
          <w:szCs w:val="24"/>
        </w:rPr>
        <w:t xml:space="preserve">fostering </w:t>
      </w:r>
      <w:r w:rsidR="00D849A9">
        <w:rPr>
          <w:noProof/>
          <w:szCs w:val="24"/>
        </w:rPr>
        <w:t>fairer competition</w:t>
      </w:r>
      <w:r w:rsidR="002E5060" w:rsidRPr="002E5060">
        <w:rPr>
          <w:noProof/>
          <w:szCs w:val="24"/>
        </w:rPr>
        <w:t xml:space="preserve"> not only through direct enforcement, but also indirectly without formal intervention.</w:t>
      </w:r>
    </w:p>
    <w:bookmarkEnd w:id="152"/>
    <w:p w14:paraId="2BBB5D61" w14:textId="74DBF559" w:rsidR="00C31F8E" w:rsidRDefault="00C31F8E" w:rsidP="00C31F8E">
      <w:pPr>
        <w:spacing w:after="240"/>
        <w:rPr>
          <w:noProof/>
          <w:szCs w:val="24"/>
        </w:rPr>
      </w:pPr>
      <w:r w:rsidRPr="00362015">
        <w:rPr>
          <w:noProof/>
          <w:szCs w:val="24"/>
        </w:rPr>
        <w:t xml:space="preserve">Second, </w:t>
      </w:r>
      <w:bookmarkStart w:id="153" w:name="_Hlk228809657"/>
      <w:r w:rsidRPr="00362015">
        <w:rPr>
          <w:noProof/>
          <w:szCs w:val="24"/>
        </w:rPr>
        <w:t xml:space="preserve">the Commission’s ability to conclude preliminary reviews within the 20-working-day deadline and deliver accurate assessments </w:t>
      </w:r>
      <w:r>
        <w:rPr>
          <w:noProof/>
          <w:szCs w:val="24"/>
        </w:rPr>
        <w:t>despite</w:t>
      </w:r>
      <w:r w:rsidRPr="00362015">
        <w:rPr>
          <w:noProof/>
          <w:szCs w:val="24"/>
        </w:rPr>
        <w:t xml:space="preserve"> </w:t>
      </w:r>
      <w:r>
        <w:rPr>
          <w:noProof/>
          <w:szCs w:val="24"/>
        </w:rPr>
        <w:t>the</w:t>
      </w:r>
      <w:r w:rsidRPr="00362015">
        <w:rPr>
          <w:noProof/>
          <w:szCs w:val="24"/>
        </w:rPr>
        <w:t xml:space="preserve"> high volume of submissions has been widely </w:t>
      </w:r>
      <w:r w:rsidRPr="674664EB">
        <w:rPr>
          <w:noProof/>
          <w:szCs w:val="24"/>
        </w:rPr>
        <w:t>recogni</w:t>
      </w:r>
      <w:r>
        <w:rPr>
          <w:noProof/>
          <w:szCs w:val="24"/>
        </w:rPr>
        <w:t>s</w:t>
      </w:r>
      <w:r w:rsidRPr="674664EB">
        <w:rPr>
          <w:noProof/>
          <w:szCs w:val="24"/>
        </w:rPr>
        <w:t>ed</w:t>
      </w:r>
      <w:r w:rsidRPr="00362015">
        <w:rPr>
          <w:noProof/>
          <w:szCs w:val="24"/>
        </w:rPr>
        <w:t xml:space="preserve"> as an important procedural success,</w:t>
      </w:r>
      <w:bookmarkEnd w:id="153"/>
      <w:r w:rsidRPr="00362015">
        <w:rPr>
          <w:noProof/>
          <w:szCs w:val="24"/>
        </w:rPr>
        <w:t xml:space="preserve"> enhancing legal certainty for economic operators</w:t>
      </w:r>
      <w:r>
        <w:rPr>
          <w:noProof/>
          <w:szCs w:val="24"/>
        </w:rPr>
        <w:t xml:space="preserve"> and stakeholders</w:t>
      </w:r>
      <w:r w:rsidRPr="00362015">
        <w:rPr>
          <w:noProof/>
          <w:szCs w:val="24"/>
        </w:rPr>
        <w:t>,</w:t>
      </w:r>
      <w:r>
        <w:rPr>
          <w:noProof/>
          <w:szCs w:val="24"/>
        </w:rPr>
        <w:t xml:space="preserve"> while ensuring timely progress</w:t>
      </w:r>
      <w:r w:rsidRPr="00362015">
        <w:rPr>
          <w:noProof/>
          <w:szCs w:val="24"/>
        </w:rPr>
        <w:t xml:space="preserve"> </w:t>
      </w:r>
      <w:r>
        <w:rPr>
          <w:noProof/>
          <w:szCs w:val="24"/>
        </w:rPr>
        <w:t>for</w:t>
      </w:r>
      <w:r w:rsidRPr="00362015">
        <w:rPr>
          <w:noProof/>
          <w:szCs w:val="24"/>
        </w:rPr>
        <w:t xml:space="preserve"> contracting authorities</w:t>
      </w:r>
      <w:r>
        <w:rPr>
          <w:noProof/>
          <w:szCs w:val="24"/>
        </w:rPr>
        <w:t xml:space="preserve"> </w:t>
      </w:r>
      <w:r w:rsidRPr="4C00D839">
        <w:rPr>
          <w:noProof/>
          <w:szCs w:val="24"/>
        </w:rPr>
        <w:t>in</w:t>
      </w:r>
      <w:r>
        <w:rPr>
          <w:noProof/>
          <w:szCs w:val="24"/>
        </w:rPr>
        <w:t xml:space="preserve"> their public procurement procedures</w:t>
      </w:r>
      <w:r w:rsidRPr="00362015">
        <w:rPr>
          <w:noProof/>
          <w:szCs w:val="24"/>
        </w:rPr>
        <w:t xml:space="preserve">. </w:t>
      </w:r>
      <w:r>
        <w:rPr>
          <w:noProof/>
          <w:szCs w:val="24"/>
        </w:rPr>
        <w:t>In parallel</w:t>
      </w:r>
      <w:r w:rsidRPr="00362015">
        <w:rPr>
          <w:noProof/>
          <w:szCs w:val="24"/>
        </w:rPr>
        <w:t xml:space="preserve">, early case practice shows that the Commission </w:t>
      </w:r>
      <w:r w:rsidR="00CD2426">
        <w:rPr>
          <w:noProof/>
          <w:szCs w:val="24"/>
        </w:rPr>
        <w:t>services</w:t>
      </w:r>
      <w:r w:rsidRPr="00362015">
        <w:rPr>
          <w:noProof/>
          <w:szCs w:val="24"/>
        </w:rPr>
        <w:t xml:space="preserve"> ha</w:t>
      </w:r>
      <w:r w:rsidR="00CD2426">
        <w:rPr>
          <w:noProof/>
          <w:szCs w:val="24"/>
        </w:rPr>
        <w:t>ve</w:t>
      </w:r>
      <w:r w:rsidRPr="00362015">
        <w:rPr>
          <w:noProof/>
          <w:szCs w:val="24"/>
        </w:rPr>
        <w:t xml:space="preserve"> applied the FSR in </w:t>
      </w:r>
      <w:r>
        <w:rPr>
          <w:noProof/>
          <w:szCs w:val="24"/>
        </w:rPr>
        <w:t xml:space="preserve">a carefully calibrated </w:t>
      </w:r>
      <w:r w:rsidRPr="00362015">
        <w:rPr>
          <w:noProof/>
          <w:szCs w:val="24"/>
        </w:rPr>
        <w:t xml:space="preserve">manner, notwithstanding the novelty and, in some respects, the </w:t>
      </w:r>
      <w:r w:rsidR="0083209A">
        <w:rPr>
          <w:noProof/>
          <w:szCs w:val="24"/>
        </w:rPr>
        <w:t>complexity</w:t>
      </w:r>
      <w:r w:rsidRPr="00362015">
        <w:rPr>
          <w:noProof/>
          <w:szCs w:val="24"/>
        </w:rPr>
        <w:t xml:space="preserve"> of the legal framework.</w:t>
      </w:r>
    </w:p>
    <w:p w14:paraId="72259087" w14:textId="35605D01" w:rsidR="002E5060" w:rsidRDefault="002E5060" w:rsidP="00C31F8E">
      <w:pPr>
        <w:spacing w:after="240"/>
        <w:rPr>
          <w:noProof/>
          <w:color w:val="000000" w:themeColor="text1"/>
          <w:szCs w:val="24"/>
          <w:lang w:eastAsia="en-IE"/>
        </w:rPr>
      </w:pPr>
      <w:r>
        <w:rPr>
          <w:noProof/>
          <w:color w:val="000000" w:themeColor="text1"/>
          <w:szCs w:val="24"/>
          <w:lang w:eastAsia="en-IE"/>
        </w:rPr>
        <w:t>This consistent approach has been further reinforced through the Commission</w:t>
      </w:r>
      <w:r w:rsidR="00CD2426">
        <w:rPr>
          <w:noProof/>
          <w:color w:val="000000" w:themeColor="text1"/>
          <w:szCs w:val="24"/>
          <w:lang w:eastAsia="en-IE"/>
        </w:rPr>
        <w:t xml:space="preserve"> services</w:t>
      </w:r>
      <w:r>
        <w:rPr>
          <w:noProof/>
          <w:color w:val="000000" w:themeColor="text1"/>
          <w:szCs w:val="24"/>
          <w:lang w:eastAsia="en-IE"/>
        </w:rPr>
        <w:t xml:space="preserve">’ growing understanding of market dynamics across critical sectors. In particular, based </w:t>
      </w:r>
      <w:r w:rsidRPr="1E38BB57">
        <w:rPr>
          <w:noProof/>
          <w:color w:val="000000" w:themeColor="text1"/>
          <w:szCs w:val="24"/>
          <w:lang w:eastAsia="en-IE"/>
        </w:rPr>
        <w:t>on the C</w:t>
      </w:r>
      <w:r>
        <w:rPr>
          <w:noProof/>
          <w:color w:val="000000" w:themeColor="text1"/>
          <w:szCs w:val="24"/>
          <w:lang w:eastAsia="en-IE"/>
        </w:rPr>
        <w:t>P</w:t>
      </w:r>
      <w:r w:rsidRPr="1E38BB57">
        <w:rPr>
          <w:noProof/>
          <w:color w:val="000000" w:themeColor="text1"/>
          <w:szCs w:val="24"/>
          <w:lang w:eastAsia="en-IE"/>
        </w:rPr>
        <w:t xml:space="preserve">V categorisation and </w:t>
      </w:r>
      <w:r>
        <w:rPr>
          <w:noProof/>
          <w:color w:val="000000" w:themeColor="text1"/>
          <w:szCs w:val="24"/>
          <w:lang w:eastAsia="en-IE"/>
        </w:rPr>
        <w:t xml:space="preserve">the </w:t>
      </w:r>
      <w:r w:rsidRPr="6D6B5C76">
        <w:rPr>
          <w:noProof/>
          <w:color w:val="000000" w:themeColor="text1"/>
          <w:szCs w:val="24"/>
          <w:lang w:eastAsia="en-IE"/>
        </w:rPr>
        <w:t>notifications submitted by economic operators, the Commission has progressively buil</w:t>
      </w:r>
      <w:r>
        <w:rPr>
          <w:noProof/>
          <w:color w:val="000000" w:themeColor="text1"/>
          <w:szCs w:val="24"/>
          <w:lang w:eastAsia="en-IE"/>
        </w:rPr>
        <w:t>t</w:t>
      </w:r>
      <w:r w:rsidRPr="6D6B5C76">
        <w:rPr>
          <w:noProof/>
          <w:color w:val="000000" w:themeColor="text1"/>
          <w:szCs w:val="24"/>
          <w:lang w:eastAsia="en-IE"/>
        </w:rPr>
        <w:t xml:space="preserve"> a robust knowledge base on market developments and on the sectors </w:t>
      </w:r>
      <w:r w:rsidRPr="1E38BB57">
        <w:rPr>
          <w:noProof/>
          <w:color w:val="000000" w:themeColor="text1"/>
          <w:szCs w:val="24"/>
          <w:lang w:eastAsia="en-IE"/>
        </w:rPr>
        <w:t xml:space="preserve">most prone to the </w:t>
      </w:r>
      <w:r>
        <w:rPr>
          <w:noProof/>
          <w:color w:val="000000" w:themeColor="text1"/>
          <w:szCs w:val="24"/>
          <w:lang w:eastAsia="en-IE"/>
        </w:rPr>
        <w:t>presence</w:t>
      </w:r>
      <w:r w:rsidRPr="1E38BB57">
        <w:rPr>
          <w:noProof/>
          <w:color w:val="000000" w:themeColor="text1"/>
          <w:szCs w:val="24"/>
          <w:lang w:eastAsia="en-IE"/>
        </w:rPr>
        <w:t xml:space="preserve"> of </w:t>
      </w:r>
      <w:r>
        <w:rPr>
          <w:noProof/>
          <w:color w:val="000000" w:themeColor="text1"/>
          <w:szCs w:val="24"/>
          <w:lang w:eastAsia="en-IE"/>
        </w:rPr>
        <w:t>FFCs</w:t>
      </w:r>
      <w:r w:rsidRPr="0F577C34">
        <w:rPr>
          <w:noProof/>
          <w:color w:val="000000" w:themeColor="text1"/>
          <w:szCs w:val="24"/>
          <w:lang w:eastAsia="en-IE"/>
        </w:rPr>
        <w:t>.</w:t>
      </w:r>
      <w:r w:rsidRPr="4CD03A44">
        <w:rPr>
          <w:noProof/>
          <w:color w:val="000000" w:themeColor="text1"/>
          <w:szCs w:val="24"/>
          <w:lang w:eastAsia="en-IE"/>
        </w:rPr>
        <w:t xml:space="preserve"> </w:t>
      </w:r>
      <w:r>
        <w:rPr>
          <w:noProof/>
          <w:color w:val="000000" w:themeColor="text1"/>
          <w:szCs w:val="24"/>
          <w:lang w:eastAsia="en-IE"/>
        </w:rPr>
        <w:t xml:space="preserve">The recurring appearance of similar companies and similar types of FFCs within each sector has in turn enabled the Commission </w:t>
      </w:r>
      <w:r w:rsidR="00CD2426">
        <w:rPr>
          <w:noProof/>
          <w:color w:val="000000" w:themeColor="text1"/>
          <w:szCs w:val="24"/>
          <w:lang w:eastAsia="en-IE"/>
        </w:rPr>
        <w:t xml:space="preserve">services </w:t>
      </w:r>
      <w:r>
        <w:rPr>
          <w:noProof/>
          <w:color w:val="000000" w:themeColor="text1"/>
          <w:szCs w:val="24"/>
          <w:lang w:eastAsia="en-IE"/>
        </w:rPr>
        <w:t xml:space="preserve">to develop a sector-based approach </w:t>
      </w:r>
      <w:r w:rsidRPr="0F577C34">
        <w:rPr>
          <w:noProof/>
          <w:color w:val="000000" w:themeColor="text1"/>
          <w:szCs w:val="24"/>
          <w:lang w:eastAsia="en-IE"/>
        </w:rPr>
        <w:t>to case</w:t>
      </w:r>
      <w:r>
        <w:rPr>
          <w:noProof/>
          <w:color w:val="000000" w:themeColor="text1"/>
          <w:szCs w:val="24"/>
          <w:lang w:eastAsia="en-IE"/>
        </w:rPr>
        <w:t xml:space="preserve">s, thereby further strengthening consistency </w:t>
      </w:r>
      <w:r w:rsidRPr="0F577C34">
        <w:rPr>
          <w:noProof/>
          <w:color w:val="000000" w:themeColor="text1"/>
          <w:szCs w:val="24"/>
          <w:lang w:eastAsia="en-IE"/>
        </w:rPr>
        <w:t>in case handling.</w:t>
      </w:r>
      <w:r>
        <w:rPr>
          <w:noProof/>
          <w:color w:val="000000" w:themeColor="text1"/>
          <w:szCs w:val="24"/>
          <w:lang w:eastAsia="en-IE"/>
        </w:rPr>
        <w:t xml:space="preserve"> </w:t>
      </w:r>
    </w:p>
    <w:p w14:paraId="50C533EF" w14:textId="751CAF01" w:rsidR="00C31F8E" w:rsidRPr="00B65214" w:rsidRDefault="00C31F8E" w:rsidP="00C31F8E">
      <w:pPr>
        <w:spacing w:after="240"/>
        <w:rPr>
          <w:noProof/>
          <w:szCs w:val="24"/>
        </w:rPr>
      </w:pPr>
      <w:r w:rsidRPr="00B65214">
        <w:rPr>
          <w:noProof/>
          <w:szCs w:val="24"/>
        </w:rPr>
        <w:t xml:space="preserve">Third, the Commission </w:t>
      </w:r>
      <w:r w:rsidR="00CD2426">
        <w:rPr>
          <w:noProof/>
          <w:szCs w:val="24"/>
        </w:rPr>
        <w:t>services</w:t>
      </w:r>
      <w:r w:rsidRPr="00B65214">
        <w:rPr>
          <w:noProof/>
          <w:szCs w:val="24"/>
        </w:rPr>
        <w:t xml:space="preserve"> ha</w:t>
      </w:r>
      <w:r w:rsidR="00CD2426">
        <w:rPr>
          <w:noProof/>
          <w:szCs w:val="24"/>
        </w:rPr>
        <w:t>ve</w:t>
      </w:r>
      <w:r w:rsidRPr="00B65214">
        <w:rPr>
          <w:noProof/>
          <w:szCs w:val="24"/>
        </w:rPr>
        <w:t xml:space="preserve"> made sustained efforts to enhance clarity</w:t>
      </w:r>
      <w:r>
        <w:rPr>
          <w:noProof/>
          <w:szCs w:val="24"/>
        </w:rPr>
        <w:t xml:space="preserve"> and cooperation</w:t>
      </w:r>
      <w:r w:rsidRPr="00B65214">
        <w:rPr>
          <w:noProof/>
          <w:szCs w:val="24"/>
        </w:rPr>
        <w:t xml:space="preserve"> with stakeholders. Through the establishment of </w:t>
      </w:r>
      <w:r w:rsidRPr="4C00D839">
        <w:rPr>
          <w:noProof/>
          <w:szCs w:val="24"/>
        </w:rPr>
        <w:t>NCPs</w:t>
      </w:r>
      <w:r w:rsidRPr="00B65214">
        <w:rPr>
          <w:noProof/>
          <w:szCs w:val="24"/>
        </w:rPr>
        <w:t xml:space="preserve">, the creation of a dedicated Expert Group, and the continuous strengthening of procedural and legal guidance, the Commission </w:t>
      </w:r>
      <w:r w:rsidR="00CD2426">
        <w:rPr>
          <w:noProof/>
          <w:szCs w:val="24"/>
        </w:rPr>
        <w:t xml:space="preserve">services </w:t>
      </w:r>
      <w:r w:rsidRPr="00B65214">
        <w:rPr>
          <w:noProof/>
          <w:szCs w:val="24"/>
        </w:rPr>
        <w:t>ha</w:t>
      </w:r>
      <w:r w:rsidR="00CD2426">
        <w:rPr>
          <w:noProof/>
          <w:szCs w:val="24"/>
        </w:rPr>
        <w:t>ve</w:t>
      </w:r>
      <w:r w:rsidRPr="00B65214">
        <w:rPr>
          <w:noProof/>
          <w:szCs w:val="24"/>
        </w:rPr>
        <w:t xml:space="preserve"> sought to facilitate compliance and foster a shared understanding of the </w:t>
      </w:r>
      <w:r>
        <w:rPr>
          <w:noProof/>
          <w:szCs w:val="24"/>
        </w:rPr>
        <w:t>framework</w:t>
      </w:r>
      <w:r w:rsidRPr="00B65214">
        <w:rPr>
          <w:noProof/>
          <w:szCs w:val="24"/>
        </w:rPr>
        <w:t xml:space="preserve">. </w:t>
      </w:r>
      <w:r w:rsidRPr="003C1BDA">
        <w:rPr>
          <w:noProof/>
          <w:szCs w:val="24"/>
        </w:rPr>
        <w:t xml:space="preserve">These efforts are particularly important in light of the identified issue of </w:t>
      </w:r>
      <w:r>
        <w:rPr>
          <w:noProof/>
          <w:szCs w:val="24"/>
        </w:rPr>
        <w:t xml:space="preserve">the </w:t>
      </w:r>
      <w:r w:rsidR="003F7A9B">
        <w:rPr>
          <w:noProof/>
          <w:szCs w:val="24"/>
        </w:rPr>
        <w:t xml:space="preserve">contracting authorities </w:t>
      </w:r>
      <w:r>
        <w:rPr>
          <w:noProof/>
          <w:szCs w:val="24"/>
        </w:rPr>
        <w:t>potential</w:t>
      </w:r>
      <w:r w:rsidR="003F7A9B">
        <w:rPr>
          <w:noProof/>
          <w:szCs w:val="24"/>
        </w:rPr>
        <w:t>ly</w:t>
      </w:r>
      <w:r>
        <w:rPr>
          <w:noProof/>
          <w:szCs w:val="24"/>
        </w:rPr>
        <w:t xml:space="preserve"> lack</w:t>
      </w:r>
      <w:r w:rsidR="003F7A9B">
        <w:rPr>
          <w:noProof/>
          <w:szCs w:val="24"/>
        </w:rPr>
        <w:t>ing</w:t>
      </w:r>
      <w:r>
        <w:rPr>
          <w:noProof/>
          <w:szCs w:val="24"/>
        </w:rPr>
        <w:t xml:space="preserve"> awareness of FSR obligations </w:t>
      </w:r>
      <w:r w:rsidDel="00F00CCF">
        <w:rPr>
          <w:noProof/>
          <w:szCs w:val="24"/>
        </w:rPr>
        <w:t xml:space="preserve">and </w:t>
      </w:r>
      <w:r>
        <w:rPr>
          <w:noProof/>
          <w:szCs w:val="24"/>
        </w:rPr>
        <w:t xml:space="preserve">the </w:t>
      </w:r>
      <w:r w:rsidRPr="003C1BDA">
        <w:rPr>
          <w:noProof/>
          <w:szCs w:val="24"/>
        </w:rPr>
        <w:t xml:space="preserve">non-notification by </w:t>
      </w:r>
      <w:r>
        <w:rPr>
          <w:noProof/>
          <w:szCs w:val="24"/>
        </w:rPr>
        <w:t xml:space="preserve">economic </w:t>
      </w:r>
      <w:r w:rsidRPr="4C00D839">
        <w:rPr>
          <w:noProof/>
          <w:szCs w:val="24"/>
        </w:rPr>
        <w:t>operators.</w:t>
      </w:r>
      <w:r>
        <w:rPr>
          <w:noProof/>
          <w:szCs w:val="24"/>
        </w:rPr>
        <w:t xml:space="preserve"> Furthermore, </w:t>
      </w:r>
      <w:r w:rsidR="00987317">
        <w:rPr>
          <w:noProof/>
          <w:szCs w:val="24"/>
        </w:rPr>
        <w:t xml:space="preserve">strengthening the digital dimension of </w:t>
      </w:r>
      <w:r>
        <w:rPr>
          <w:noProof/>
          <w:szCs w:val="24"/>
        </w:rPr>
        <w:t>case-handling tools</w:t>
      </w:r>
      <w:r w:rsidRPr="00B65214">
        <w:rPr>
          <w:noProof/>
          <w:szCs w:val="24"/>
        </w:rPr>
        <w:t xml:space="preserve"> reflects a clear commitment to </w:t>
      </w:r>
      <w:r>
        <w:rPr>
          <w:noProof/>
          <w:szCs w:val="24"/>
        </w:rPr>
        <w:t xml:space="preserve">greater transparency and more efficient case management. </w:t>
      </w:r>
    </w:p>
    <w:p w14:paraId="1C217A8A" w14:textId="5A43CABE" w:rsidR="002E5060" w:rsidRPr="002E5060" w:rsidRDefault="002E5060" w:rsidP="002E5060">
      <w:pPr>
        <w:spacing w:after="240"/>
        <w:rPr>
          <w:noProof/>
          <w:szCs w:val="24"/>
        </w:rPr>
      </w:pPr>
      <w:r w:rsidRPr="002E5060">
        <w:rPr>
          <w:noProof/>
          <w:szCs w:val="24"/>
        </w:rPr>
        <w:t>At the same time, early practice has highlighted several challenges that affect the overall efficiency</w:t>
      </w:r>
      <w:r w:rsidR="007A66FD">
        <w:rPr>
          <w:noProof/>
          <w:szCs w:val="24"/>
        </w:rPr>
        <w:t>,</w:t>
      </w:r>
      <w:r w:rsidRPr="002E5060">
        <w:rPr>
          <w:noProof/>
          <w:szCs w:val="24"/>
        </w:rPr>
        <w:t xml:space="preserve"> proportionality and clarity of the system. Lack of clarity can give rise to a degree of legal uncertainty for economic operators and may add complexity to the Commission’s assessment, potentially lengthening </w:t>
      </w:r>
      <w:r w:rsidR="00EE349A">
        <w:rPr>
          <w:noProof/>
          <w:szCs w:val="24"/>
        </w:rPr>
        <w:t>the process if</w:t>
      </w:r>
      <w:r w:rsidRPr="002E5060">
        <w:rPr>
          <w:noProof/>
          <w:szCs w:val="24"/>
        </w:rPr>
        <w:t xml:space="preserve"> it is required to request missing information. A </w:t>
      </w:r>
      <w:r w:rsidR="00EE349A">
        <w:rPr>
          <w:noProof/>
          <w:szCs w:val="24"/>
        </w:rPr>
        <w:t>major</w:t>
      </w:r>
      <w:r w:rsidR="00EE349A" w:rsidRPr="002E5060">
        <w:rPr>
          <w:noProof/>
          <w:szCs w:val="24"/>
        </w:rPr>
        <w:t xml:space="preserve"> </w:t>
      </w:r>
      <w:r w:rsidRPr="002E5060">
        <w:rPr>
          <w:noProof/>
          <w:szCs w:val="24"/>
        </w:rPr>
        <w:t>concern relates to the administrative burden imposed on economic operators. Stakeholders frequently point to the broad scope of the reporting obligation, the perceived inadequacy of thresholds, and the complexity and lack of clarity of the FS-PP</w:t>
      </w:r>
      <w:r w:rsidR="00EE349A">
        <w:rPr>
          <w:noProof/>
          <w:szCs w:val="24"/>
        </w:rPr>
        <w:t xml:space="preserve"> forms</w:t>
      </w:r>
      <w:r w:rsidRPr="002E5060">
        <w:rPr>
          <w:noProof/>
          <w:szCs w:val="24"/>
        </w:rPr>
        <w:t xml:space="preserve">, which can result in disproportionate reporting requirements, including for companies that may not be the primary </w:t>
      </w:r>
      <w:r w:rsidR="007A3981">
        <w:rPr>
          <w:noProof/>
          <w:szCs w:val="24"/>
        </w:rPr>
        <w:t>target</w:t>
      </w:r>
      <w:r w:rsidRPr="002E5060">
        <w:rPr>
          <w:noProof/>
          <w:szCs w:val="24"/>
        </w:rPr>
        <w:t xml:space="preserve">s of the FSR. These difficulties are compounded by practical challenges in identifying, collecting and reporting </w:t>
      </w:r>
      <w:r w:rsidR="00EE349A">
        <w:rPr>
          <w:noProof/>
          <w:szCs w:val="24"/>
        </w:rPr>
        <w:t>FFCs</w:t>
      </w:r>
      <w:r w:rsidRPr="002E5060">
        <w:rPr>
          <w:noProof/>
          <w:szCs w:val="24"/>
        </w:rPr>
        <w:t xml:space="preserve">. Since the collection of data on FFCs is based on the self-assessment of economic operators, they are required to screen their own finances to identify FFCs and consider whether these fall under any of the exceptions listed in Section B (6) of Form FS-PP. As a result, submissions are often initially incorrect or incomplete and thereby insufficient for a proper assessment. </w:t>
      </w:r>
    </w:p>
    <w:p w14:paraId="5A0F233F" w14:textId="7C1D7766" w:rsidR="000C4724" w:rsidRPr="000C4724" w:rsidRDefault="00C31F8E" w:rsidP="000C4724">
      <w:pPr>
        <w:spacing w:after="240"/>
        <w:rPr>
          <w:noProof/>
          <w:szCs w:val="24"/>
        </w:rPr>
      </w:pPr>
      <w:r w:rsidRPr="00B65214">
        <w:rPr>
          <w:noProof/>
          <w:szCs w:val="24"/>
        </w:rPr>
        <w:t>These</w:t>
      </w:r>
      <w:r w:rsidR="000C4724">
        <w:rPr>
          <w:noProof/>
          <w:szCs w:val="24"/>
        </w:rPr>
        <w:t xml:space="preserve"> </w:t>
      </w:r>
      <w:r w:rsidR="00FB02B5">
        <w:rPr>
          <w:noProof/>
          <w:szCs w:val="24"/>
        </w:rPr>
        <w:t>considerations</w:t>
      </w:r>
      <w:r w:rsidRPr="00B65214">
        <w:rPr>
          <w:noProof/>
          <w:szCs w:val="24"/>
        </w:rPr>
        <w:t xml:space="preserve"> have direct implications </w:t>
      </w:r>
      <w:r w:rsidR="00EE349A">
        <w:rPr>
          <w:noProof/>
          <w:szCs w:val="24"/>
        </w:rPr>
        <w:t>for</w:t>
      </w:r>
      <w:r w:rsidR="00EE349A" w:rsidRPr="00B65214">
        <w:rPr>
          <w:noProof/>
          <w:szCs w:val="24"/>
        </w:rPr>
        <w:t xml:space="preserve"> </w:t>
      </w:r>
      <w:r w:rsidRPr="00B65214">
        <w:rPr>
          <w:noProof/>
          <w:szCs w:val="24"/>
        </w:rPr>
        <w:t xml:space="preserve">the effectiveness of the </w:t>
      </w:r>
      <w:r w:rsidRPr="4C00D839">
        <w:rPr>
          <w:noProof/>
          <w:szCs w:val="24"/>
        </w:rPr>
        <w:t>FSR.</w:t>
      </w:r>
      <w:r w:rsidRPr="00B65214">
        <w:rPr>
          <w:noProof/>
          <w:szCs w:val="24"/>
        </w:rPr>
        <w:t xml:space="preserve"> The Commission </w:t>
      </w:r>
      <w:r w:rsidR="004F7773">
        <w:rPr>
          <w:noProof/>
          <w:szCs w:val="24"/>
        </w:rPr>
        <w:t>services</w:t>
      </w:r>
      <w:r w:rsidRPr="00B65214">
        <w:rPr>
          <w:noProof/>
          <w:szCs w:val="24"/>
        </w:rPr>
        <w:t xml:space="preserve"> </w:t>
      </w:r>
      <w:r w:rsidR="004F7773">
        <w:rPr>
          <w:noProof/>
          <w:szCs w:val="24"/>
        </w:rPr>
        <w:t>are</w:t>
      </w:r>
      <w:r w:rsidRPr="00B65214">
        <w:rPr>
          <w:noProof/>
          <w:szCs w:val="24"/>
        </w:rPr>
        <w:t xml:space="preserve"> frequently required to devote significant time during the preliminary review phase to gathering missing information. </w:t>
      </w:r>
      <w:r w:rsidR="000C4724" w:rsidRPr="000C4724">
        <w:rPr>
          <w:noProof/>
          <w:szCs w:val="24"/>
        </w:rPr>
        <w:t xml:space="preserve">As a result of the lack of practical use of pre-notification contacts shortcomings linked to submissions can only be addressed during the preliminary review, which strains the Commission’s assessment. Furthermore, the absence of a ‘stop-the-clock’ mechanism, combined with tight timelines for both preliminary reviews and in-depth investigations, further constrains the ability of the Commission to carry out thorough substantive assessments, particularly in more complex cases. </w:t>
      </w:r>
    </w:p>
    <w:p w14:paraId="6C42F0C4" w14:textId="44EDD906" w:rsidR="000C4724" w:rsidRPr="000C4724" w:rsidRDefault="000C4724" w:rsidP="000C4724">
      <w:pPr>
        <w:rPr>
          <w:noProof/>
        </w:rPr>
      </w:pPr>
      <w:r>
        <w:rPr>
          <w:noProof/>
          <w:szCs w:val="24"/>
        </w:rPr>
        <w:t>In addition</w:t>
      </w:r>
      <w:r w:rsidRPr="7B652118">
        <w:rPr>
          <w:noProof/>
          <w:szCs w:val="24"/>
        </w:rPr>
        <w:t xml:space="preserve">, the Commission </w:t>
      </w:r>
      <w:r w:rsidR="004F7773">
        <w:rPr>
          <w:noProof/>
          <w:szCs w:val="24"/>
        </w:rPr>
        <w:t xml:space="preserve">services </w:t>
      </w:r>
      <w:r>
        <w:rPr>
          <w:noProof/>
          <w:szCs w:val="24"/>
        </w:rPr>
        <w:t>note</w:t>
      </w:r>
      <w:r w:rsidRPr="7B652118">
        <w:rPr>
          <w:noProof/>
          <w:szCs w:val="24"/>
        </w:rPr>
        <w:t xml:space="preserve"> that </w:t>
      </w:r>
      <w:r>
        <w:rPr>
          <w:noProof/>
          <w:szCs w:val="24"/>
        </w:rPr>
        <w:t xml:space="preserve">economic operators that are subject to </w:t>
      </w:r>
      <w:r w:rsidR="00EE349A">
        <w:rPr>
          <w:noProof/>
          <w:szCs w:val="24"/>
        </w:rPr>
        <w:t xml:space="preserve">the </w:t>
      </w:r>
      <w:r>
        <w:rPr>
          <w:noProof/>
          <w:szCs w:val="24"/>
        </w:rPr>
        <w:t xml:space="preserve">FSR reporting obligation on a recurrent basis face </w:t>
      </w:r>
      <w:r w:rsidR="00EE349A">
        <w:rPr>
          <w:noProof/>
          <w:szCs w:val="24"/>
        </w:rPr>
        <w:t xml:space="preserve">an </w:t>
      </w:r>
      <w:r>
        <w:rPr>
          <w:noProof/>
          <w:szCs w:val="24"/>
        </w:rPr>
        <w:t xml:space="preserve">additional administrative burden. In this context, </w:t>
      </w:r>
      <w:r w:rsidRPr="7B652118">
        <w:rPr>
          <w:noProof/>
          <w:szCs w:val="24"/>
        </w:rPr>
        <w:t xml:space="preserve">the 40 economic operators that submitted the most </w:t>
      </w:r>
      <w:r>
        <w:rPr>
          <w:noProof/>
          <w:szCs w:val="24"/>
        </w:rPr>
        <w:t>FS-PP</w:t>
      </w:r>
      <w:r w:rsidRPr="7B652118" w:rsidDel="00C451CE">
        <w:rPr>
          <w:noProof/>
          <w:szCs w:val="24"/>
        </w:rPr>
        <w:t xml:space="preserve"> </w:t>
      </w:r>
      <w:r w:rsidR="00EE349A">
        <w:rPr>
          <w:noProof/>
          <w:szCs w:val="24"/>
        </w:rPr>
        <w:t xml:space="preserve">forms </w:t>
      </w:r>
      <w:r w:rsidRPr="7B652118">
        <w:rPr>
          <w:noProof/>
          <w:szCs w:val="24"/>
        </w:rPr>
        <w:t>submitted on average 16</w:t>
      </w:r>
      <w:r w:rsidR="004F7773">
        <w:rPr>
          <w:noProof/>
          <w:szCs w:val="24"/>
        </w:rPr>
        <w:t>.</w:t>
      </w:r>
      <w:r w:rsidRPr="7B652118">
        <w:rPr>
          <w:noProof/>
          <w:szCs w:val="24"/>
        </w:rPr>
        <w:t>8 submissions during the reference period (approx</w:t>
      </w:r>
      <w:r w:rsidR="000B3D25">
        <w:rPr>
          <w:noProof/>
          <w:szCs w:val="24"/>
        </w:rPr>
        <w:t>imately</w:t>
      </w:r>
      <w:r w:rsidRPr="7B652118">
        <w:rPr>
          <w:noProof/>
          <w:szCs w:val="24"/>
        </w:rPr>
        <w:t xml:space="preserve"> </w:t>
      </w:r>
      <w:r>
        <w:rPr>
          <w:noProof/>
          <w:szCs w:val="24"/>
        </w:rPr>
        <w:t>two</w:t>
      </w:r>
      <w:r w:rsidRPr="7B652118">
        <w:rPr>
          <w:noProof/>
          <w:szCs w:val="24"/>
        </w:rPr>
        <w:t xml:space="preserve"> years from October 2023 until January 2026), that is on average 8.4 submissions per year. </w:t>
      </w:r>
      <w:r>
        <w:rPr>
          <w:noProof/>
          <w:szCs w:val="24"/>
        </w:rPr>
        <w:t xml:space="preserve">In this regard, the Commission </w:t>
      </w:r>
      <w:r w:rsidR="004F7773">
        <w:rPr>
          <w:noProof/>
          <w:szCs w:val="24"/>
        </w:rPr>
        <w:t xml:space="preserve">services </w:t>
      </w:r>
      <w:r>
        <w:rPr>
          <w:noProof/>
          <w:szCs w:val="24"/>
        </w:rPr>
        <w:t xml:space="preserve">note that </w:t>
      </w:r>
      <w:r w:rsidR="008645F9">
        <w:rPr>
          <w:noProof/>
          <w:szCs w:val="24"/>
        </w:rPr>
        <w:t>introducing a single submission that would be updated twice a year (</w:t>
      </w:r>
      <w:r>
        <w:rPr>
          <w:noProof/>
          <w:szCs w:val="24"/>
        </w:rPr>
        <w:t>i</w:t>
      </w:r>
      <w:r w:rsidRPr="7B652118">
        <w:rPr>
          <w:noProof/>
          <w:szCs w:val="24"/>
        </w:rPr>
        <w:t>nstead of individual submissions</w:t>
      </w:r>
      <w:r w:rsidR="008645F9">
        <w:rPr>
          <w:noProof/>
          <w:szCs w:val="24"/>
        </w:rPr>
        <w:t>)</w:t>
      </w:r>
      <w:r w:rsidRPr="7B652118">
        <w:rPr>
          <w:noProof/>
          <w:szCs w:val="24"/>
        </w:rPr>
        <w:t>, or systematic</w:t>
      </w:r>
      <w:r w:rsidR="00DD0C86">
        <w:rPr>
          <w:noProof/>
          <w:szCs w:val="24"/>
        </w:rPr>
        <w:t>ally</w:t>
      </w:r>
      <w:r w:rsidRPr="7B652118">
        <w:rPr>
          <w:noProof/>
          <w:szCs w:val="24"/>
        </w:rPr>
        <w:t xml:space="preserve"> u</w:t>
      </w:r>
      <w:r w:rsidR="00DD0C86">
        <w:rPr>
          <w:noProof/>
          <w:szCs w:val="24"/>
        </w:rPr>
        <w:t>sing</w:t>
      </w:r>
      <w:r w:rsidRPr="7B652118">
        <w:rPr>
          <w:noProof/>
          <w:szCs w:val="24"/>
        </w:rPr>
        <w:t xml:space="preserve"> waivers for this purpose could have resulted in 160 submissions in total instead of 672, which </w:t>
      </w:r>
      <w:r>
        <w:rPr>
          <w:noProof/>
          <w:szCs w:val="24"/>
        </w:rPr>
        <w:t>would lead to</w:t>
      </w:r>
      <w:r w:rsidRPr="688D21B5">
        <w:rPr>
          <w:noProof/>
          <w:szCs w:val="24"/>
        </w:rPr>
        <w:t xml:space="preserve"> </w:t>
      </w:r>
      <w:r w:rsidRPr="7B652118">
        <w:rPr>
          <w:noProof/>
          <w:szCs w:val="24"/>
        </w:rPr>
        <w:t>a decrease of approx</w:t>
      </w:r>
      <w:r w:rsidR="000B3D25">
        <w:rPr>
          <w:noProof/>
          <w:szCs w:val="24"/>
        </w:rPr>
        <w:t>imately</w:t>
      </w:r>
      <w:r w:rsidRPr="7B652118">
        <w:rPr>
          <w:noProof/>
          <w:szCs w:val="24"/>
        </w:rPr>
        <w:t xml:space="preserve"> 76% in </w:t>
      </w:r>
      <w:r w:rsidR="00DD0C86">
        <w:rPr>
          <w:noProof/>
          <w:szCs w:val="24"/>
        </w:rPr>
        <w:t>the number of</w:t>
      </w:r>
      <w:r w:rsidRPr="7B652118">
        <w:rPr>
          <w:noProof/>
          <w:szCs w:val="24"/>
        </w:rPr>
        <w:t xml:space="preserve"> submissions among the 40 economic operators</w:t>
      </w:r>
      <w:r w:rsidR="000B3D25">
        <w:rPr>
          <w:noProof/>
          <w:szCs w:val="24"/>
        </w:rPr>
        <w:t xml:space="preserve"> submitting the </w:t>
      </w:r>
      <w:r w:rsidR="00DD0C86">
        <w:rPr>
          <w:noProof/>
          <w:szCs w:val="24"/>
        </w:rPr>
        <w:t>highest number of</w:t>
      </w:r>
      <w:r w:rsidR="000B3D25">
        <w:rPr>
          <w:noProof/>
          <w:szCs w:val="24"/>
        </w:rPr>
        <w:t xml:space="preserve"> notifications</w:t>
      </w:r>
      <w:r w:rsidRPr="7B652118">
        <w:rPr>
          <w:noProof/>
          <w:szCs w:val="24"/>
        </w:rPr>
        <w:t>.</w:t>
      </w:r>
    </w:p>
    <w:p w14:paraId="2F414400" w14:textId="36516957" w:rsidR="00C31F8E" w:rsidRPr="00B65214" w:rsidRDefault="00C31F8E" w:rsidP="00C31F8E">
      <w:pPr>
        <w:spacing w:after="240"/>
        <w:rPr>
          <w:noProof/>
          <w:szCs w:val="24"/>
        </w:rPr>
      </w:pPr>
      <w:r>
        <w:rPr>
          <w:noProof/>
          <w:szCs w:val="24"/>
        </w:rPr>
        <w:t xml:space="preserve">Moreover, </w:t>
      </w:r>
      <w:bookmarkStart w:id="154" w:name="_Hlk228809699"/>
      <w:r w:rsidRPr="00EF10DD">
        <w:rPr>
          <w:noProof/>
          <w:szCs w:val="24"/>
        </w:rPr>
        <w:t xml:space="preserve">while progress has been made in enhancing transparency and providing guidance, stakeholders continue to call for further clarification of key FSR legal concepts and more comprehensive support. </w:t>
      </w:r>
      <w:bookmarkEnd w:id="154"/>
      <w:r w:rsidRPr="00EF10DD">
        <w:rPr>
          <w:noProof/>
          <w:szCs w:val="24"/>
        </w:rPr>
        <w:t xml:space="preserve">Such improvements are considered </w:t>
      </w:r>
      <w:r>
        <w:rPr>
          <w:noProof/>
          <w:szCs w:val="24"/>
        </w:rPr>
        <w:t>necessary</w:t>
      </w:r>
      <w:r w:rsidRPr="00EF10DD">
        <w:rPr>
          <w:noProof/>
          <w:szCs w:val="24"/>
        </w:rPr>
        <w:t xml:space="preserve"> to address inconsistencies in implementation and to enhance </w:t>
      </w:r>
      <w:r>
        <w:rPr>
          <w:noProof/>
          <w:szCs w:val="24"/>
        </w:rPr>
        <w:t>overall</w:t>
      </w:r>
      <w:r w:rsidRPr="00EF10DD">
        <w:rPr>
          <w:noProof/>
          <w:szCs w:val="24"/>
        </w:rPr>
        <w:t xml:space="preserve"> predictability and legal certainty</w:t>
      </w:r>
      <w:r>
        <w:rPr>
          <w:noProof/>
          <w:szCs w:val="24"/>
        </w:rPr>
        <w:t xml:space="preserve"> in the Commission’s practice</w:t>
      </w:r>
      <w:r w:rsidRPr="00EF10DD">
        <w:rPr>
          <w:noProof/>
          <w:szCs w:val="24"/>
        </w:rPr>
        <w:t>.</w:t>
      </w:r>
    </w:p>
    <w:p w14:paraId="458C2FDC" w14:textId="76D3117B" w:rsidR="00C31F8E" w:rsidRPr="00836900" w:rsidRDefault="00C31F8E" w:rsidP="00836900">
      <w:pPr>
        <w:spacing w:after="240"/>
        <w:rPr>
          <w:noProof/>
          <w:szCs w:val="24"/>
        </w:rPr>
      </w:pPr>
      <w:r w:rsidRPr="00B65214">
        <w:rPr>
          <w:noProof/>
          <w:szCs w:val="24"/>
        </w:rPr>
        <w:t xml:space="preserve">In conclusion, early enforcement demonstrates that the FSR is already contributing to safeguarding fair competition in public procurement by enabling the detection </w:t>
      </w:r>
      <w:r w:rsidR="006305F6">
        <w:rPr>
          <w:noProof/>
          <w:szCs w:val="24"/>
        </w:rPr>
        <w:t xml:space="preserve">and scrutiny </w:t>
      </w:r>
      <w:r w:rsidRPr="00B65214">
        <w:rPr>
          <w:noProof/>
          <w:szCs w:val="24"/>
        </w:rPr>
        <w:t>of potentially distortive foreign subsidies</w:t>
      </w:r>
      <w:r w:rsidR="00420C7E">
        <w:rPr>
          <w:noProof/>
          <w:szCs w:val="24"/>
        </w:rPr>
        <w:t>.</w:t>
      </w:r>
      <w:r w:rsidRPr="00B65214" w:rsidDel="00420C7E">
        <w:rPr>
          <w:noProof/>
          <w:szCs w:val="24"/>
        </w:rPr>
        <w:t xml:space="preserve"> </w:t>
      </w:r>
      <w:r>
        <w:rPr>
          <w:noProof/>
          <w:szCs w:val="24"/>
        </w:rPr>
        <w:t>Nevertheless</w:t>
      </w:r>
      <w:r w:rsidRPr="00B65214">
        <w:rPr>
          <w:noProof/>
          <w:szCs w:val="24"/>
        </w:rPr>
        <w:t xml:space="preserve">, the experience gained so far underscores the </w:t>
      </w:r>
      <w:bookmarkStart w:id="155" w:name="_Hlk228809720"/>
      <w:r w:rsidRPr="00B65214">
        <w:rPr>
          <w:noProof/>
          <w:szCs w:val="24"/>
        </w:rPr>
        <w:t xml:space="preserve">need </w:t>
      </w:r>
      <w:r w:rsidR="004F7773">
        <w:rPr>
          <w:noProof/>
          <w:szCs w:val="24"/>
        </w:rPr>
        <w:t>to consider</w:t>
      </w:r>
      <w:r w:rsidR="004F7773" w:rsidRPr="00B65214">
        <w:rPr>
          <w:noProof/>
          <w:szCs w:val="24"/>
        </w:rPr>
        <w:t xml:space="preserve"> </w:t>
      </w:r>
      <w:r w:rsidR="007A3981">
        <w:rPr>
          <w:noProof/>
          <w:szCs w:val="24"/>
        </w:rPr>
        <w:t>target</w:t>
      </w:r>
      <w:r w:rsidRPr="00B65214">
        <w:rPr>
          <w:noProof/>
          <w:szCs w:val="24"/>
        </w:rPr>
        <w:t xml:space="preserve">ed improvements, </w:t>
      </w:r>
      <w:r w:rsidR="007F47F8">
        <w:rPr>
          <w:noProof/>
          <w:szCs w:val="24"/>
        </w:rPr>
        <w:t>especially</w:t>
      </w:r>
      <w:r w:rsidRPr="00B65214">
        <w:rPr>
          <w:noProof/>
          <w:szCs w:val="24"/>
        </w:rPr>
        <w:t xml:space="preserve"> streamline </w:t>
      </w:r>
      <w:r>
        <w:rPr>
          <w:noProof/>
          <w:szCs w:val="24"/>
        </w:rPr>
        <w:t>reporting obligation</w:t>
      </w:r>
      <w:r w:rsidRPr="00B65214">
        <w:rPr>
          <w:noProof/>
          <w:szCs w:val="24"/>
        </w:rPr>
        <w:t xml:space="preserve">s, enhance the quality and completeness of submissions, </w:t>
      </w:r>
      <w:r w:rsidRPr="20BB9648">
        <w:rPr>
          <w:noProof/>
          <w:szCs w:val="24"/>
        </w:rPr>
        <w:t>increase transparency</w:t>
      </w:r>
      <w:r w:rsidRPr="6F22158E">
        <w:rPr>
          <w:noProof/>
          <w:szCs w:val="24"/>
        </w:rPr>
        <w:t xml:space="preserve"> and</w:t>
      </w:r>
      <w:r w:rsidRPr="00B65214">
        <w:rPr>
          <w:noProof/>
          <w:szCs w:val="24"/>
        </w:rPr>
        <w:t xml:space="preserve"> further strengthen guidance and cooperation with contracting authorities and economic operators. </w:t>
      </w:r>
      <w:bookmarkEnd w:id="155"/>
      <w:r w:rsidRPr="00B65214">
        <w:rPr>
          <w:noProof/>
          <w:szCs w:val="24"/>
        </w:rPr>
        <w:t>Addressing these challenges will be essential to ensure that the FSR operates in a proportionate, predictable and fully effective manner</w:t>
      </w:r>
      <w:r w:rsidRPr="4C00D839">
        <w:rPr>
          <w:noProof/>
          <w:szCs w:val="24"/>
        </w:rPr>
        <w:t>.</w:t>
      </w:r>
    </w:p>
    <w:p w14:paraId="398189FE" w14:textId="3B43AAAB" w:rsidR="00DE7DDC" w:rsidRDefault="00DE7DDC" w:rsidP="00EA4DDE">
      <w:pPr>
        <w:pStyle w:val="Heading2"/>
        <w:rPr>
          <w:noProof/>
        </w:rPr>
      </w:pPr>
      <w:bookmarkStart w:id="156" w:name="_Toc234227882"/>
      <w:r w:rsidRPr="00D1183D">
        <w:rPr>
          <w:noProof/>
        </w:rPr>
        <w:t xml:space="preserve">Developments </w:t>
      </w:r>
      <w:r w:rsidR="00C83AF8">
        <w:rPr>
          <w:noProof/>
        </w:rPr>
        <w:t xml:space="preserve">in </w:t>
      </w:r>
      <w:r w:rsidRPr="00D1183D">
        <w:rPr>
          <w:noProof/>
        </w:rPr>
        <w:t>third countries’ subsidy control systems</w:t>
      </w:r>
      <w:bookmarkEnd w:id="156"/>
    </w:p>
    <w:p w14:paraId="5735A236" w14:textId="2373F46A" w:rsidR="00DE7DDC" w:rsidRPr="00062FFC" w:rsidRDefault="00062FFC" w:rsidP="00062FFC">
      <w:pPr>
        <w:pStyle w:val="Heading3"/>
        <w:rPr>
          <w:bCs/>
          <w:noProof/>
        </w:rPr>
      </w:pPr>
      <w:bookmarkStart w:id="157" w:name="_Toc234227883"/>
      <w:r w:rsidRPr="00D1183D">
        <w:rPr>
          <w:noProof/>
        </w:rPr>
        <w:t>Introduction</w:t>
      </w:r>
      <w:bookmarkEnd w:id="157"/>
    </w:p>
    <w:p w14:paraId="3F9CCC81" w14:textId="3DD13273" w:rsidR="00DE7DDC" w:rsidRPr="00F80016" w:rsidRDefault="00DE7DDC" w:rsidP="004A1922">
      <w:pPr>
        <w:rPr>
          <w:noProof/>
          <w:lang w:val="en-IE"/>
        </w:rPr>
      </w:pPr>
      <w:r w:rsidRPr="00F80016">
        <w:rPr>
          <w:noProof/>
          <w:lang w:val="en-IE"/>
        </w:rPr>
        <w:t xml:space="preserve">This chapter examines developments </w:t>
      </w:r>
      <w:r w:rsidR="00AF742C">
        <w:rPr>
          <w:noProof/>
          <w:lang w:val="en-IE"/>
        </w:rPr>
        <w:t>in</w:t>
      </w:r>
      <w:r w:rsidR="00AF742C" w:rsidRPr="00F80016">
        <w:rPr>
          <w:noProof/>
          <w:lang w:val="en-IE"/>
        </w:rPr>
        <w:t xml:space="preserve"> </w:t>
      </w:r>
      <w:r w:rsidRPr="00F80016">
        <w:rPr>
          <w:noProof/>
          <w:lang w:val="en-IE"/>
        </w:rPr>
        <w:t xml:space="preserve">third countries’ subsidy control systems, as referred to in </w:t>
      </w:r>
      <w:r w:rsidR="004F7773" w:rsidRPr="00F80016">
        <w:rPr>
          <w:noProof/>
          <w:lang w:val="en-IE"/>
        </w:rPr>
        <w:t>Article</w:t>
      </w:r>
      <w:r w:rsidR="004F7773">
        <w:rPr>
          <w:noProof/>
          <w:lang w:val="en-IE"/>
        </w:rPr>
        <w:t> </w:t>
      </w:r>
      <w:r w:rsidRPr="00F80016">
        <w:rPr>
          <w:noProof/>
          <w:lang w:val="en-IE"/>
        </w:rPr>
        <w:t xml:space="preserve">52 </w:t>
      </w:r>
      <w:r w:rsidR="002060CE">
        <w:rPr>
          <w:noProof/>
          <w:lang w:val="en-IE"/>
        </w:rPr>
        <w:t>FSR</w:t>
      </w:r>
      <w:r w:rsidRPr="00F80016">
        <w:rPr>
          <w:noProof/>
          <w:lang w:val="en-IE"/>
        </w:rPr>
        <w:t xml:space="preserve">. </w:t>
      </w:r>
      <w:r>
        <w:rPr>
          <w:noProof/>
          <w:lang w:val="en-IE"/>
        </w:rPr>
        <w:t>The aim of this analysis</w:t>
      </w:r>
      <w:r w:rsidRPr="00F80016">
        <w:rPr>
          <w:noProof/>
          <w:lang w:val="en-IE"/>
        </w:rPr>
        <w:t xml:space="preserve"> </w:t>
      </w:r>
      <w:r>
        <w:rPr>
          <w:noProof/>
          <w:lang w:val="en-IE"/>
        </w:rPr>
        <w:t xml:space="preserve">is </w:t>
      </w:r>
      <w:r w:rsidRPr="00F80016">
        <w:rPr>
          <w:noProof/>
          <w:lang w:val="en-IE"/>
        </w:rPr>
        <w:t>to ensure that the</w:t>
      </w:r>
      <w:r w:rsidR="007F47F8" w:rsidRPr="007F47F8">
        <w:rPr>
          <w:noProof/>
        </w:rPr>
        <w:t xml:space="preserve"> </w:t>
      </w:r>
      <w:r w:rsidR="007F47F8">
        <w:rPr>
          <w:noProof/>
        </w:rPr>
        <w:t>way in which</w:t>
      </w:r>
      <w:r w:rsidRPr="00F80016">
        <w:rPr>
          <w:noProof/>
          <w:lang w:val="en-IE"/>
        </w:rPr>
        <w:t xml:space="preserve"> the </w:t>
      </w:r>
      <w:r w:rsidR="00AF742C">
        <w:rPr>
          <w:noProof/>
          <w:lang w:val="en-IE"/>
        </w:rPr>
        <w:t>FSR</w:t>
      </w:r>
      <w:r w:rsidR="00AF742C" w:rsidRPr="00F80016">
        <w:rPr>
          <w:noProof/>
          <w:lang w:val="en-IE"/>
        </w:rPr>
        <w:t xml:space="preserve"> </w:t>
      </w:r>
      <w:r w:rsidR="007F47F8">
        <w:rPr>
          <w:noProof/>
          <w:lang w:val="en-IE"/>
        </w:rPr>
        <w:t xml:space="preserve">is applied </w:t>
      </w:r>
      <w:r w:rsidRPr="00F80016">
        <w:rPr>
          <w:noProof/>
          <w:lang w:val="en-IE"/>
        </w:rPr>
        <w:t>remains responsive to evolving global economic and legal conditions.</w:t>
      </w:r>
    </w:p>
    <w:p w14:paraId="7D5E575D" w14:textId="32F33DBF" w:rsidR="00DE7DDC" w:rsidRDefault="00DE7DDC" w:rsidP="004A1922">
      <w:pPr>
        <w:rPr>
          <w:noProof/>
          <w:lang w:val="en-IE"/>
        </w:rPr>
      </w:pPr>
      <w:r w:rsidRPr="00F80016">
        <w:rPr>
          <w:noProof/>
          <w:lang w:val="en-IE"/>
        </w:rPr>
        <w:t xml:space="preserve">In this context, the Commission is required to monitor and assess developments in subsidy control frameworks outside the Union, as </w:t>
      </w:r>
      <w:r>
        <w:rPr>
          <w:noProof/>
          <w:lang w:val="en-IE"/>
        </w:rPr>
        <w:t>they</w:t>
      </w:r>
      <w:r w:rsidRPr="00F80016">
        <w:rPr>
          <w:noProof/>
          <w:lang w:val="en-IE"/>
        </w:rPr>
        <w:t xml:space="preserve"> may affect the effectiveness and proportionality of the </w:t>
      </w:r>
      <w:r w:rsidR="00AF742C">
        <w:rPr>
          <w:noProof/>
          <w:lang w:val="en-IE"/>
        </w:rPr>
        <w:t>FSR</w:t>
      </w:r>
      <w:r w:rsidRPr="00F80016">
        <w:rPr>
          <w:noProof/>
          <w:lang w:val="en-IE"/>
        </w:rPr>
        <w:t>. Such monitoring enables the Commission to determine whether the assumptions underlying the FSR continue to hold true and whether adjustments may be necessary to preserve a level playing field within the internal market.</w:t>
      </w:r>
    </w:p>
    <w:p w14:paraId="274A7735" w14:textId="18AB3626" w:rsidR="00DE7DDC" w:rsidRDefault="00DE7DDC" w:rsidP="004A1922">
      <w:pPr>
        <w:rPr>
          <w:noProof/>
        </w:rPr>
      </w:pPr>
      <w:r w:rsidRPr="00DE7291">
        <w:rPr>
          <w:noProof/>
        </w:rPr>
        <w:t xml:space="preserve">This chapter has been developed drawing </w:t>
      </w:r>
      <w:r w:rsidR="004F7773">
        <w:rPr>
          <w:noProof/>
        </w:rPr>
        <w:t xml:space="preserve">mostly </w:t>
      </w:r>
      <w:r w:rsidRPr="00DE7291">
        <w:rPr>
          <w:noProof/>
        </w:rPr>
        <w:t>on the research and analysis carried out in the FSR Review Study</w:t>
      </w:r>
      <w:r>
        <w:rPr>
          <w:noProof/>
        </w:rPr>
        <w:t>.</w:t>
      </w:r>
    </w:p>
    <w:p w14:paraId="6ECBFFCC" w14:textId="056ABF98" w:rsidR="00DE7DDC" w:rsidRPr="00612570" w:rsidRDefault="00DE7DDC" w:rsidP="00EA4DDE">
      <w:pPr>
        <w:pStyle w:val="Heading3"/>
        <w:rPr>
          <w:iCs/>
          <w:noProof/>
        </w:rPr>
      </w:pPr>
      <w:bookmarkStart w:id="158" w:name="_Toc234227884"/>
      <w:r w:rsidRPr="00D1183D">
        <w:rPr>
          <w:noProof/>
        </w:rPr>
        <w:t>Analysis</w:t>
      </w:r>
      <w:bookmarkEnd w:id="158"/>
      <w:r w:rsidRPr="00A47B29">
        <w:rPr>
          <w:noProof/>
        </w:rPr>
        <w:t xml:space="preserve"> </w:t>
      </w:r>
    </w:p>
    <w:p w14:paraId="23212342" w14:textId="7EB999D2" w:rsidR="00DE7DDC" w:rsidRPr="00F80016" w:rsidRDefault="00DE7DDC" w:rsidP="004A1922">
      <w:pPr>
        <w:rPr>
          <w:noProof/>
          <w:lang w:val="en-IE"/>
        </w:rPr>
      </w:pPr>
      <w:r w:rsidRPr="00F80016">
        <w:rPr>
          <w:noProof/>
          <w:lang w:val="en-IE"/>
        </w:rPr>
        <w:t>This section reviews developments in a number of key jurisdictions</w:t>
      </w:r>
      <w:r w:rsidR="007F47F8">
        <w:rPr>
          <w:noProof/>
          <w:lang w:val="en-IE"/>
        </w:rPr>
        <w:t>:</w:t>
      </w:r>
      <w:r w:rsidR="005C1C14">
        <w:rPr>
          <w:noProof/>
          <w:lang w:val="en-IE"/>
        </w:rPr>
        <w:t xml:space="preserve"> </w:t>
      </w:r>
      <w:r w:rsidRPr="00F80016">
        <w:rPr>
          <w:noProof/>
          <w:lang w:val="en-IE"/>
        </w:rPr>
        <w:t xml:space="preserve">Canada, </w:t>
      </w:r>
      <w:r w:rsidR="004A0103">
        <w:rPr>
          <w:noProof/>
          <w:lang w:val="en-IE"/>
        </w:rPr>
        <w:t>PRC</w:t>
      </w:r>
      <w:r w:rsidRPr="00F80016">
        <w:rPr>
          <w:noProof/>
          <w:lang w:val="en-IE"/>
        </w:rPr>
        <w:t xml:space="preserve">, Japan, Switzerland, Türkiye, </w:t>
      </w:r>
      <w:r w:rsidR="004A0103">
        <w:rPr>
          <w:noProof/>
          <w:lang w:val="en-IE"/>
        </w:rPr>
        <w:t>UAE</w:t>
      </w:r>
      <w:r w:rsidRPr="00F80016">
        <w:rPr>
          <w:noProof/>
          <w:lang w:val="en-IE"/>
        </w:rPr>
        <w:t>, the United Kingdom</w:t>
      </w:r>
      <w:r w:rsidR="009362C2">
        <w:rPr>
          <w:noProof/>
          <w:lang w:val="en-IE"/>
        </w:rPr>
        <w:t xml:space="preserve"> </w:t>
      </w:r>
      <w:r w:rsidRPr="00F80016">
        <w:rPr>
          <w:noProof/>
          <w:lang w:val="en-IE"/>
        </w:rPr>
        <w:t>and the United States. These jurisdictions have been selected due to their significant economic engagement with the Union, including trade, investment flows, mergers and acquisitions, and participation in public procurement. As such, their subsidy practices are particularly relevant for assessing potential distortions of competition within the EU internal market.</w:t>
      </w:r>
    </w:p>
    <w:p w14:paraId="49524F0D" w14:textId="3731A9CC" w:rsidR="00DE7DDC" w:rsidRPr="00F80016" w:rsidRDefault="00DE7DDC" w:rsidP="004A1922">
      <w:pPr>
        <w:rPr>
          <w:noProof/>
          <w:lang w:val="en-IE"/>
        </w:rPr>
      </w:pPr>
      <w:r w:rsidRPr="00F80016">
        <w:rPr>
          <w:noProof/>
          <w:lang w:val="en-IE"/>
        </w:rPr>
        <w:t xml:space="preserve">A central finding of this review is that the </w:t>
      </w:r>
      <w:r w:rsidR="004A0103">
        <w:rPr>
          <w:noProof/>
          <w:lang w:val="en-IE"/>
        </w:rPr>
        <w:t>EU</w:t>
      </w:r>
      <w:r w:rsidRPr="00F80016">
        <w:rPr>
          <w:noProof/>
          <w:lang w:val="en-IE"/>
        </w:rPr>
        <w:t xml:space="preserve"> remains unique in operating a comprehensive and cross-sectoral State aid control system. The EU framework combines both </w:t>
      </w:r>
      <w:r w:rsidRPr="005F1BD2">
        <w:rPr>
          <w:i/>
          <w:noProof/>
          <w:lang w:val="en-IE"/>
        </w:rPr>
        <w:t>ex ante</w:t>
      </w:r>
      <w:r w:rsidRPr="00F80016">
        <w:rPr>
          <w:noProof/>
          <w:lang w:val="en-IE"/>
        </w:rPr>
        <w:t xml:space="preserve"> and </w:t>
      </w:r>
      <w:r w:rsidRPr="005F1BD2">
        <w:rPr>
          <w:i/>
          <w:noProof/>
          <w:lang w:val="en-IE"/>
        </w:rPr>
        <w:t>ex post</w:t>
      </w:r>
      <w:r w:rsidRPr="00F80016">
        <w:rPr>
          <w:noProof/>
          <w:lang w:val="en-IE"/>
        </w:rPr>
        <w:t xml:space="preserve"> elements: it allows for the prior screening of potentially distortive subsidies before they are granted, while also providing mechanisms to address subsidies that may escape initial scrutiny. This dual structure ensures a high level of oversight and legal certainty.</w:t>
      </w:r>
      <w:r w:rsidR="00EB7E99">
        <w:rPr>
          <w:noProof/>
          <w:lang w:val="en-IE"/>
        </w:rPr>
        <w:t xml:space="preserve"> </w:t>
      </w:r>
      <w:r w:rsidR="00EB7E99" w:rsidRPr="00EB7E99">
        <w:rPr>
          <w:noProof/>
          <w:lang w:val="en-IE"/>
        </w:rPr>
        <w:t xml:space="preserve">The frameworks in EEA countries and EU accession candidates, while often aligned or influenced by the EU model, are generally less extensive or </w:t>
      </w:r>
      <w:r w:rsidR="00A87CFF">
        <w:rPr>
          <w:noProof/>
          <w:lang w:val="en-IE"/>
        </w:rPr>
        <w:t xml:space="preserve">not as </w:t>
      </w:r>
      <w:r w:rsidR="00EB7E99" w:rsidRPr="00EB7E99">
        <w:rPr>
          <w:noProof/>
          <w:lang w:val="en-IE"/>
        </w:rPr>
        <w:t>fully integrated.</w:t>
      </w:r>
    </w:p>
    <w:p w14:paraId="75AF88C6" w14:textId="314EFE0F" w:rsidR="00DE7DDC" w:rsidRPr="00F80016" w:rsidRDefault="00DE7DDC" w:rsidP="004A1922">
      <w:pPr>
        <w:rPr>
          <w:noProof/>
          <w:lang w:val="en-IE"/>
        </w:rPr>
      </w:pPr>
      <w:r w:rsidRPr="00F80016">
        <w:rPr>
          <w:noProof/>
          <w:lang w:val="en-IE"/>
        </w:rPr>
        <w:t xml:space="preserve">By contrast, none of the </w:t>
      </w:r>
      <w:r w:rsidR="00D1183D">
        <w:rPr>
          <w:noProof/>
          <w:lang w:val="en-IE"/>
        </w:rPr>
        <w:t xml:space="preserve">other </w:t>
      </w:r>
      <w:r w:rsidRPr="00F80016">
        <w:rPr>
          <w:noProof/>
          <w:lang w:val="en-IE"/>
        </w:rPr>
        <w:t xml:space="preserve">jurisdictions examined has </w:t>
      </w:r>
      <w:r w:rsidR="007F47F8">
        <w:rPr>
          <w:noProof/>
          <w:lang w:val="en-IE"/>
        </w:rPr>
        <w:t>put in place</w:t>
      </w:r>
      <w:r w:rsidR="007F47F8" w:rsidRPr="00F80016">
        <w:rPr>
          <w:noProof/>
          <w:lang w:val="en-IE"/>
        </w:rPr>
        <w:t xml:space="preserve"> </w:t>
      </w:r>
      <w:r w:rsidRPr="00F80016">
        <w:rPr>
          <w:noProof/>
          <w:lang w:val="en-IE"/>
        </w:rPr>
        <w:t xml:space="preserve">a similarly comprehensive system based on independent </w:t>
      </w:r>
      <w:r w:rsidRPr="005F1BD2">
        <w:rPr>
          <w:i/>
          <w:noProof/>
          <w:lang w:val="en-IE"/>
        </w:rPr>
        <w:t>ex ante</w:t>
      </w:r>
      <w:r w:rsidRPr="00F80016">
        <w:rPr>
          <w:noProof/>
          <w:lang w:val="en-IE"/>
        </w:rPr>
        <w:t xml:space="preserve"> control. While certain countries have taken steps toward greater regulation of subsidies, these efforts remain limited in scope or fragmented in design.</w:t>
      </w:r>
    </w:p>
    <w:p w14:paraId="6A1F1913" w14:textId="3437D533" w:rsidR="00DE7DDC" w:rsidRDefault="00DE7DDC" w:rsidP="004A1922">
      <w:pPr>
        <w:rPr>
          <w:noProof/>
          <w:lang w:val="en-IE"/>
        </w:rPr>
      </w:pPr>
      <w:r w:rsidRPr="00F80016">
        <w:rPr>
          <w:noProof/>
          <w:lang w:val="en-IE"/>
        </w:rPr>
        <w:t xml:space="preserve">The </w:t>
      </w:r>
      <w:r w:rsidR="00E81DA4">
        <w:rPr>
          <w:noProof/>
          <w:lang w:val="en-IE"/>
        </w:rPr>
        <w:t>United Kingdom</w:t>
      </w:r>
      <w:r w:rsidRPr="00F80016">
        <w:rPr>
          <w:noProof/>
          <w:lang w:val="en-IE"/>
        </w:rPr>
        <w:t xml:space="preserve"> represents</w:t>
      </w:r>
      <w:r w:rsidR="005C1C14">
        <w:rPr>
          <w:noProof/>
          <w:lang w:val="en-IE"/>
        </w:rPr>
        <w:t>, amongst the countries analysed,</w:t>
      </w:r>
      <w:r w:rsidRPr="00F80016">
        <w:rPr>
          <w:noProof/>
          <w:lang w:val="en-IE"/>
        </w:rPr>
        <w:t xml:space="preserve"> the closest approximation to the EU model. Its subsidy control regime, introduced following its withdrawal from the EU, incorporates a set of substantive principles and provides for oversight mechanisms. However, it does not replicate the EU system of prior notification and </w:t>
      </w:r>
      <w:r w:rsidR="00072C68" w:rsidRPr="00F80016">
        <w:rPr>
          <w:noProof/>
          <w:lang w:val="en-IE"/>
        </w:rPr>
        <w:t>approval and</w:t>
      </w:r>
      <w:r w:rsidRPr="00F80016">
        <w:rPr>
          <w:noProof/>
          <w:lang w:val="en-IE"/>
        </w:rPr>
        <w:t xml:space="preserve"> therefore lacks an equivalent level of </w:t>
      </w:r>
      <w:r w:rsidRPr="005F1BD2">
        <w:rPr>
          <w:i/>
          <w:noProof/>
          <w:lang w:val="en-IE"/>
        </w:rPr>
        <w:t>ex ante</w:t>
      </w:r>
      <w:r w:rsidRPr="00F80016">
        <w:rPr>
          <w:noProof/>
          <w:lang w:val="en-IE"/>
        </w:rPr>
        <w:t xml:space="preserve"> control.</w:t>
      </w:r>
    </w:p>
    <w:p w14:paraId="4611E590" w14:textId="3A9DCB3E" w:rsidR="00DE7DDC" w:rsidRPr="00F80016" w:rsidRDefault="00DE7DDC" w:rsidP="004A1922">
      <w:pPr>
        <w:rPr>
          <w:noProof/>
          <w:lang w:val="en-IE"/>
        </w:rPr>
      </w:pPr>
      <w:r w:rsidRPr="00F80016">
        <w:rPr>
          <w:noProof/>
          <w:lang w:val="en-IE"/>
        </w:rPr>
        <w:t xml:space="preserve">In other jurisdictions, developments have been more partial or </w:t>
      </w:r>
      <w:r w:rsidR="00072C68" w:rsidRPr="00F80016">
        <w:rPr>
          <w:noProof/>
          <w:lang w:val="en-IE"/>
        </w:rPr>
        <w:t>sector specific</w:t>
      </w:r>
      <w:r w:rsidRPr="00F80016">
        <w:rPr>
          <w:noProof/>
          <w:lang w:val="en-IE"/>
        </w:rPr>
        <w:t xml:space="preserve">. Switzerland, for example, has introduced forms of subsidy screening in particular areas such as </w:t>
      </w:r>
      <w:r>
        <w:rPr>
          <w:noProof/>
          <w:lang w:val="en-IE"/>
        </w:rPr>
        <w:t>aviation</w:t>
      </w:r>
      <w:r w:rsidRPr="00F80016">
        <w:rPr>
          <w:noProof/>
          <w:lang w:val="en-IE"/>
        </w:rPr>
        <w:t xml:space="preserve">, but does not operate a unified, cross-sectoral regime. Türkiye has explored the introduction of a subsidy control framework through legislative initiatives, yet a fully functioning </w:t>
      </w:r>
      <w:r w:rsidRPr="00F8266A">
        <w:rPr>
          <w:noProof/>
          <w:lang w:val="en-IE"/>
        </w:rPr>
        <w:t>notification, assessment, or recovery system comparable to the EU</w:t>
      </w:r>
      <w:r w:rsidR="00EA7475">
        <w:rPr>
          <w:noProof/>
          <w:lang w:val="en-IE"/>
        </w:rPr>
        <w:t>’s</w:t>
      </w:r>
      <w:r w:rsidRPr="00F80016">
        <w:rPr>
          <w:noProof/>
          <w:lang w:val="en-IE"/>
        </w:rPr>
        <w:t xml:space="preserve"> has not been implemented to date.</w:t>
      </w:r>
    </w:p>
    <w:p w14:paraId="37A0A239" w14:textId="1F029757" w:rsidR="00DE7DDC" w:rsidRPr="00F80016" w:rsidRDefault="00DE7DDC" w:rsidP="004A1922">
      <w:pPr>
        <w:rPr>
          <w:noProof/>
          <w:lang w:val="en-IE"/>
        </w:rPr>
      </w:pPr>
      <w:r w:rsidRPr="00F80016">
        <w:rPr>
          <w:noProof/>
          <w:lang w:val="en-IE"/>
        </w:rPr>
        <w:t xml:space="preserve">Elsewhere, subsidy control continues to be addressed through alternative or indirect means. The United States </w:t>
      </w:r>
      <w:r>
        <w:rPr>
          <w:noProof/>
          <w:lang w:val="en-IE"/>
        </w:rPr>
        <w:t>does not operate</w:t>
      </w:r>
      <w:r w:rsidR="00071EBA">
        <w:rPr>
          <w:noProof/>
          <w:lang w:val="en-IE"/>
        </w:rPr>
        <w:t>,</w:t>
      </w:r>
      <w:r>
        <w:rPr>
          <w:noProof/>
          <w:lang w:val="en-IE"/>
        </w:rPr>
        <w:t xml:space="preserve"> </w:t>
      </w:r>
      <w:r w:rsidR="00071EBA">
        <w:rPr>
          <w:noProof/>
          <w:lang w:val="en-IE"/>
        </w:rPr>
        <w:t>n</w:t>
      </w:r>
      <w:r>
        <w:rPr>
          <w:noProof/>
          <w:lang w:val="en-IE"/>
        </w:rPr>
        <w:t>or has taken steps to implement,</w:t>
      </w:r>
      <w:r w:rsidRPr="00F80016">
        <w:rPr>
          <w:noProof/>
          <w:lang w:val="en-IE"/>
        </w:rPr>
        <w:t xml:space="preserve"> </w:t>
      </w:r>
      <w:r w:rsidRPr="00F8266A">
        <w:rPr>
          <w:noProof/>
          <w:lang w:val="en-IE"/>
        </w:rPr>
        <w:t>at either the federal or sub-federal level, a subsidy control regime comparable to the EU State aid framework.</w:t>
      </w:r>
      <w:r w:rsidRPr="00F80016">
        <w:rPr>
          <w:noProof/>
          <w:lang w:val="en-IE"/>
        </w:rPr>
        <w:t xml:space="preserve"> </w:t>
      </w:r>
      <w:r w:rsidR="00644232" w:rsidRPr="00F80016">
        <w:rPr>
          <w:noProof/>
          <w:lang w:val="en-IE"/>
        </w:rPr>
        <w:t>China</w:t>
      </w:r>
      <w:r w:rsidR="00644232">
        <w:rPr>
          <w:noProof/>
          <w:lang w:val="en-IE"/>
        </w:rPr>
        <w:t xml:space="preserve"> </w:t>
      </w:r>
      <w:r>
        <w:rPr>
          <w:noProof/>
          <w:lang w:val="en-IE"/>
        </w:rPr>
        <w:t>does not operate</w:t>
      </w:r>
      <w:r w:rsidR="00071EBA">
        <w:rPr>
          <w:noProof/>
          <w:lang w:val="en-IE"/>
        </w:rPr>
        <w:t>,</w:t>
      </w:r>
      <w:r>
        <w:rPr>
          <w:noProof/>
          <w:lang w:val="en-IE"/>
        </w:rPr>
        <w:t xml:space="preserve"> </w:t>
      </w:r>
      <w:r w:rsidR="00071EBA">
        <w:rPr>
          <w:noProof/>
          <w:lang w:val="en-IE"/>
        </w:rPr>
        <w:t>n</w:t>
      </w:r>
      <w:r>
        <w:rPr>
          <w:noProof/>
          <w:lang w:val="en-IE"/>
        </w:rPr>
        <w:t>or has taken steps to implement a subsidy control system comparable to the EU</w:t>
      </w:r>
      <w:r w:rsidR="00EA7475">
        <w:rPr>
          <w:noProof/>
          <w:lang w:val="en-IE"/>
        </w:rPr>
        <w:t>’s</w:t>
      </w:r>
      <w:r w:rsidR="00CC56E7">
        <w:rPr>
          <w:noProof/>
          <w:lang w:val="en-IE"/>
        </w:rPr>
        <w:t>.</w:t>
      </w:r>
      <w:r>
        <w:rPr>
          <w:noProof/>
          <w:lang w:val="en-IE"/>
        </w:rPr>
        <w:t xml:space="preserve"> </w:t>
      </w:r>
      <w:r w:rsidR="006A1E49">
        <w:rPr>
          <w:noProof/>
          <w:lang w:val="en-IE"/>
        </w:rPr>
        <w:t>In addition to not taking measures to</w:t>
      </w:r>
      <w:r w:rsidR="003844A3">
        <w:rPr>
          <w:noProof/>
          <w:lang w:val="en-IE"/>
        </w:rPr>
        <w:t xml:space="preserve"> place</w:t>
      </w:r>
      <w:r w:rsidR="003844A3" w:rsidRPr="00F80016">
        <w:rPr>
          <w:noProof/>
          <w:lang w:val="en-IE"/>
        </w:rPr>
        <w:t xml:space="preserve"> </w:t>
      </w:r>
      <w:r w:rsidRPr="00F80016">
        <w:rPr>
          <w:noProof/>
          <w:lang w:val="en-IE"/>
        </w:rPr>
        <w:t>an independent mechanism for the systematic oversight of subsidies</w:t>
      </w:r>
      <w:r w:rsidR="00CC56E7">
        <w:rPr>
          <w:noProof/>
          <w:lang w:val="en-IE"/>
        </w:rPr>
        <w:t xml:space="preserve">, </w:t>
      </w:r>
      <w:r w:rsidR="00405B2B">
        <w:rPr>
          <w:noProof/>
          <w:lang w:val="en-IE"/>
        </w:rPr>
        <w:t xml:space="preserve">public sources indicate that </w:t>
      </w:r>
      <w:r w:rsidR="006A1E49">
        <w:rPr>
          <w:noProof/>
          <w:lang w:val="en-IE"/>
        </w:rPr>
        <w:t>China</w:t>
      </w:r>
      <w:r w:rsidR="00CC56E7" w:rsidRPr="00CC56E7">
        <w:rPr>
          <w:noProof/>
          <w:lang w:val="en-IE"/>
        </w:rPr>
        <w:t xml:space="preserve"> continues to pursue an active industrial policy with large-scale subsidisation representing one of its core components</w:t>
      </w:r>
      <w:r w:rsidR="00A87CFF" w:rsidRPr="00A87CFF">
        <w:rPr>
          <w:noProof/>
          <w:lang w:val="en-IE"/>
        </w:rPr>
        <w:t> (</w:t>
      </w:r>
      <w:r w:rsidR="00A87CFF">
        <w:rPr>
          <w:rStyle w:val="FootnoteReference"/>
          <w:noProof/>
          <w:lang w:val="en-IE"/>
        </w:rPr>
        <w:footnoteReference w:id="91"/>
      </w:r>
      <w:r w:rsidR="00A87CFF">
        <w:rPr>
          <w:noProof/>
          <w:lang w:val="en-IE"/>
        </w:rPr>
        <w:t>)</w:t>
      </w:r>
      <w:r w:rsidR="000F50D6">
        <w:rPr>
          <w:noProof/>
          <w:lang w:val="en-IE"/>
        </w:rPr>
        <w:t>.</w:t>
      </w:r>
      <w:r w:rsidRPr="00F80016">
        <w:rPr>
          <w:noProof/>
          <w:lang w:val="en-IE"/>
        </w:rPr>
        <w:t xml:space="preserve"> </w:t>
      </w:r>
      <w:r w:rsidR="00062FFC" w:rsidRPr="00F80016">
        <w:rPr>
          <w:noProof/>
          <w:lang w:val="en-IE"/>
        </w:rPr>
        <w:t xml:space="preserve">Canada </w:t>
      </w:r>
      <w:r w:rsidRPr="00F80016">
        <w:rPr>
          <w:noProof/>
          <w:lang w:val="en-IE"/>
        </w:rPr>
        <w:t xml:space="preserve">and Japan </w:t>
      </w:r>
      <w:r>
        <w:rPr>
          <w:noProof/>
          <w:lang w:val="en-IE"/>
        </w:rPr>
        <w:t>also</w:t>
      </w:r>
      <w:r w:rsidRPr="00F80016">
        <w:rPr>
          <w:noProof/>
          <w:lang w:val="en-IE"/>
        </w:rPr>
        <w:t xml:space="preserve"> lack centralised </w:t>
      </w:r>
      <w:r w:rsidRPr="005F1BD2">
        <w:rPr>
          <w:i/>
          <w:noProof/>
          <w:lang w:val="en-IE"/>
        </w:rPr>
        <w:t>ex ante</w:t>
      </w:r>
      <w:r w:rsidRPr="00F80016">
        <w:rPr>
          <w:noProof/>
          <w:lang w:val="en-IE"/>
        </w:rPr>
        <w:t xml:space="preserve"> screening systems, instead addressing subsidies through more limited or ad hoc tools, for instance within the context of sectoral regulation</w:t>
      </w:r>
      <w:r>
        <w:rPr>
          <w:noProof/>
          <w:lang w:val="en-IE"/>
        </w:rPr>
        <w:t xml:space="preserve"> or public finance and administrative control measures</w:t>
      </w:r>
      <w:r w:rsidRPr="00F80016">
        <w:rPr>
          <w:noProof/>
          <w:lang w:val="en-IE"/>
        </w:rPr>
        <w:t>.</w:t>
      </w:r>
    </w:p>
    <w:p w14:paraId="287C478A" w14:textId="35287F31" w:rsidR="00DE7DDC" w:rsidRPr="00F80016" w:rsidRDefault="00DE7DDC" w:rsidP="004A1922">
      <w:pPr>
        <w:rPr>
          <w:noProof/>
          <w:lang w:val="en-IE"/>
        </w:rPr>
      </w:pPr>
      <w:r w:rsidRPr="00F80016">
        <w:rPr>
          <w:noProof/>
          <w:lang w:val="en-IE"/>
        </w:rPr>
        <w:t xml:space="preserve">At the international level, both bilateral and multilateral developments remain relatively modest. The </w:t>
      </w:r>
      <w:r w:rsidR="00EA7475">
        <w:rPr>
          <w:noProof/>
          <w:lang w:val="en-IE"/>
        </w:rPr>
        <w:t>EU</w:t>
      </w:r>
      <w:r w:rsidRPr="00F80016">
        <w:rPr>
          <w:noProof/>
          <w:lang w:val="en-IE"/>
        </w:rPr>
        <w:t xml:space="preserve"> has included subsidy-related provisions in several </w:t>
      </w:r>
      <w:r w:rsidR="00EA7475">
        <w:rPr>
          <w:noProof/>
          <w:lang w:val="en-IE"/>
        </w:rPr>
        <w:t>f</w:t>
      </w:r>
      <w:r w:rsidRPr="00F80016">
        <w:rPr>
          <w:noProof/>
          <w:lang w:val="en-IE"/>
        </w:rPr>
        <w:t xml:space="preserve">ree </w:t>
      </w:r>
      <w:r w:rsidR="00EA7475">
        <w:rPr>
          <w:noProof/>
          <w:lang w:val="en-IE"/>
        </w:rPr>
        <w:t>t</w:t>
      </w:r>
      <w:r w:rsidRPr="00F80016">
        <w:rPr>
          <w:noProof/>
          <w:lang w:val="en-IE"/>
        </w:rPr>
        <w:t xml:space="preserve">rade </w:t>
      </w:r>
      <w:r w:rsidR="00EA7475">
        <w:rPr>
          <w:noProof/>
          <w:lang w:val="en-IE"/>
        </w:rPr>
        <w:t>a</w:t>
      </w:r>
      <w:r w:rsidRPr="00F80016">
        <w:rPr>
          <w:noProof/>
          <w:lang w:val="en-IE"/>
        </w:rPr>
        <w:t>greements with these jurisdictions, although these provisions vary in scope and enforceability. Agreements such as the EU–Canada Comprehensive Economic and Trade Agreement (CETA) and the EU–Japan Economic Partnership Agreement (EPA) primarily emphasise transparency and cooperation, with limited binding constraints. The EU–</w:t>
      </w:r>
      <w:r w:rsidR="00E81DA4" w:rsidRPr="00E81DA4">
        <w:rPr>
          <w:noProof/>
          <w:lang w:val="en-IE"/>
        </w:rPr>
        <w:t>United Kingdom</w:t>
      </w:r>
      <w:r w:rsidRPr="00F80016">
        <w:rPr>
          <w:noProof/>
          <w:lang w:val="en-IE"/>
        </w:rPr>
        <w:t xml:space="preserve"> Trade and Cooperation Agreement (TCA) goes further by </w:t>
      </w:r>
      <w:r w:rsidR="003844A3">
        <w:rPr>
          <w:noProof/>
          <w:lang w:val="en-IE"/>
        </w:rPr>
        <w:t>setting up</w:t>
      </w:r>
      <w:r w:rsidR="003844A3" w:rsidRPr="00F80016">
        <w:rPr>
          <w:noProof/>
          <w:lang w:val="en-IE"/>
        </w:rPr>
        <w:t xml:space="preserve"> </w:t>
      </w:r>
      <w:r w:rsidRPr="00F80016">
        <w:rPr>
          <w:noProof/>
          <w:lang w:val="en-IE"/>
        </w:rPr>
        <w:t xml:space="preserve">a dedicated subsidy control framework, yet it </w:t>
      </w:r>
      <w:r>
        <w:rPr>
          <w:noProof/>
          <w:lang w:val="en-IE"/>
        </w:rPr>
        <w:t>does not include an</w:t>
      </w:r>
      <w:r w:rsidRPr="00F80016">
        <w:rPr>
          <w:noProof/>
          <w:lang w:val="en-IE"/>
        </w:rPr>
        <w:t xml:space="preserve"> EU-style </w:t>
      </w:r>
      <w:r w:rsidRPr="005F1BD2">
        <w:rPr>
          <w:i/>
          <w:noProof/>
          <w:lang w:val="en-IE"/>
        </w:rPr>
        <w:t>ex ante</w:t>
      </w:r>
      <w:r w:rsidRPr="00F80016">
        <w:rPr>
          <w:noProof/>
          <w:lang w:val="en-IE"/>
        </w:rPr>
        <w:t xml:space="preserve"> approval mechanisms.</w:t>
      </w:r>
    </w:p>
    <w:p w14:paraId="42D14303" w14:textId="64D72BC1" w:rsidR="00DE7DDC" w:rsidRPr="00F80016" w:rsidRDefault="00DE7DDC" w:rsidP="004A1922">
      <w:pPr>
        <w:rPr>
          <w:noProof/>
          <w:lang w:val="en-IE"/>
        </w:rPr>
      </w:pPr>
      <w:r w:rsidRPr="00F80016">
        <w:rPr>
          <w:noProof/>
          <w:lang w:val="en-IE"/>
        </w:rPr>
        <w:t>At the multilateral level, discussions within the WTO have not resulted in significant new disciplines on subsidies since the adoption of the FSR in 2022. Progress has been largely confined to specific sectors, such as fisheries, and has not addressed the broader issue of distortive subsidies across the global economy.</w:t>
      </w:r>
    </w:p>
    <w:p w14:paraId="7104A7AC" w14:textId="608DFED1" w:rsidR="00DE7DDC" w:rsidRPr="00612570" w:rsidRDefault="00DE7DDC" w:rsidP="00EA4DDE">
      <w:pPr>
        <w:pStyle w:val="Heading3"/>
        <w:rPr>
          <w:iCs/>
          <w:noProof/>
        </w:rPr>
      </w:pPr>
      <w:bookmarkStart w:id="159" w:name="_Toc234227885"/>
      <w:r w:rsidRPr="00D1183D">
        <w:rPr>
          <w:noProof/>
        </w:rPr>
        <w:t>Conclusion</w:t>
      </w:r>
      <w:bookmarkEnd w:id="159"/>
    </w:p>
    <w:p w14:paraId="5AA16CAA" w14:textId="2DB66999" w:rsidR="00DE7DDC" w:rsidRPr="00F8266A" w:rsidRDefault="00DE7DDC" w:rsidP="004A1922">
      <w:pPr>
        <w:rPr>
          <w:noProof/>
          <w:lang w:val="en-IE"/>
        </w:rPr>
      </w:pPr>
      <w:r w:rsidRPr="00F8266A">
        <w:rPr>
          <w:noProof/>
          <w:lang w:val="en-IE"/>
        </w:rPr>
        <w:t xml:space="preserve">Overall, the analysis indicates that there has been no fundamental </w:t>
      </w:r>
      <w:r w:rsidR="005F63C9">
        <w:rPr>
          <w:noProof/>
          <w:lang w:val="en-IE"/>
        </w:rPr>
        <w:t>change</w:t>
      </w:r>
      <w:r w:rsidR="005F63C9" w:rsidRPr="00F8266A">
        <w:rPr>
          <w:noProof/>
          <w:lang w:val="en-IE"/>
        </w:rPr>
        <w:t xml:space="preserve"> </w:t>
      </w:r>
      <w:r w:rsidRPr="00F8266A">
        <w:rPr>
          <w:noProof/>
          <w:lang w:val="en-IE"/>
        </w:rPr>
        <w:t xml:space="preserve">in third countries’ subsidy control systems since the adoption of the FSR. Developments have generally been gradual and limited in scope, whether in the context of bilateral agreements or multilateral negotiations. </w:t>
      </w:r>
      <w:r w:rsidR="00B91BB1" w:rsidRPr="00B91BB1">
        <w:rPr>
          <w:noProof/>
          <w:lang w:val="en-IE"/>
        </w:rPr>
        <w:t>In other words, risks related to possible distortive foreign subsidies appear largely unchanged</w:t>
      </w:r>
      <w:r w:rsidRPr="00F8266A">
        <w:rPr>
          <w:noProof/>
          <w:lang w:val="en-IE"/>
        </w:rPr>
        <w:t>.</w:t>
      </w:r>
    </w:p>
    <w:p w14:paraId="7DD2A745" w14:textId="228FBB3C" w:rsidR="00DE7DDC" w:rsidRDefault="0097031C" w:rsidP="004A1922">
      <w:pPr>
        <w:rPr>
          <w:noProof/>
          <w:lang w:val="en-IE"/>
        </w:rPr>
      </w:pPr>
      <w:r>
        <w:rPr>
          <w:noProof/>
          <w:lang w:val="en-IE"/>
        </w:rPr>
        <w:t>As such, t</w:t>
      </w:r>
      <w:r w:rsidR="00DE7DDC" w:rsidRPr="00F8266A">
        <w:rPr>
          <w:noProof/>
          <w:lang w:val="en-IE"/>
        </w:rPr>
        <w:t xml:space="preserve">hese findings suggest that the assumptions underlying the FSR remain valid. </w:t>
      </w:r>
      <w:r>
        <w:rPr>
          <w:noProof/>
          <w:lang w:val="en-IE"/>
        </w:rPr>
        <w:t>C</w:t>
      </w:r>
      <w:r w:rsidR="00DE7DDC" w:rsidRPr="00F8266A">
        <w:rPr>
          <w:noProof/>
          <w:lang w:val="en-IE"/>
        </w:rPr>
        <w:t xml:space="preserve">ontinued monitoring remains important, especially in light of evolving industrial policies and potential future reforms. </w:t>
      </w:r>
    </w:p>
    <w:p w14:paraId="15680964" w14:textId="49FDEE4B" w:rsidR="00DE7DDC" w:rsidRPr="00F8266A" w:rsidRDefault="00DE7DDC" w:rsidP="004A1922">
      <w:pPr>
        <w:rPr>
          <w:noProof/>
          <w:lang w:val="en-IE"/>
        </w:rPr>
      </w:pPr>
      <w:r w:rsidRPr="00F8266A">
        <w:rPr>
          <w:noProof/>
          <w:lang w:val="en-IE"/>
        </w:rPr>
        <w:t xml:space="preserve">On this basis, the FSR can be considered </w:t>
      </w:r>
      <w:r w:rsidR="003844A3">
        <w:rPr>
          <w:noProof/>
          <w:lang w:val="en-IE"/>
        </w:rPr>
        <w:t>as still</w:t>
      </w:r>
      <w:r w:rsidRPr="00F8266A">
        <w:rPr>
          <w:noProof/>
          <w:lang w:val="en-IE"/>
        </w:rPr>
        <w:t xml:space="preserve"> fit for purpose in addressing foreign subsidies that risk distorting competition within the EU internal market.</w:t>
      </w:r>
    </w:p>
    <w:p w14:paraId="60C8E5A2" w14:textId="2DAB99AD" w:rsidR="008C7584" w:rsidRPr="0055064F" w:rsidRDefault="00F04C23" w:rsidP="00CC2C8C">
      <w:pPr>
        <w:pStyle w:val="Heading1"/>
        <w:rPr>
          <w:noProof/>
          <w:lang w:val="en-IE"/>
        </w:rPr>
      </w:pPr>
      <w:bookmarkStart w:id="160" w:name="_Ref229988337"/>
      <w:bookmarkStart w:id="161" w:name="_Toc234227886"/>
      <w:r>
        <w:rPr>
          <w:noProof/>
        </w:rPr>
        <w:t xml:space="preserve">ASSESSMENT OF </w:t>
      </w:r>
      <w:r w:rsidR="00CC2C8C">
        <w:rPr>
          <w:noProof/>
        </w:rPr>
        <w:t>THE EFFECTIVENESS OF THE FSR</w:t>
      </w:r>
      <w:bookmarkEnd w:id="160"/>
      <w:bookmarkEnd w:id="161"/>
    </w:p>
    <w:p w14:paraId="09B1DF71" w14:textId="440F7C12" w:rsidR="007225DF" w:rsidRPr="00C278E9" w:rsidRDefault="00553534" w:rsidP="00EA4DDE">
      <w:pPr>
        <w:pStyle w:val="Heading2"/>
        <w:rPr>
          <w:noProof/>
        </w:rPr>
      </w:pPr>
      <w:bookmarkStart w:id="162" w:name="_Toc234227887"/>
      <w:r>
        <w:rPr>
          <w:noProof/>
        </w:rPr>
        <w:t>FSR in general and policy objectives</w:t>
      </w:r>
      <w:bookmarkEnd w:id="162"/>
    </w:p>
    <w:p w14:paraId="4DDE921B" w14:textId="0E271E18" w:rsidR="004E4C5F" w:rsidRPr="00D1183D" w:rsidRDefault="004E4C5F" w:rsidP="004A1922">
      <w:pPr>
        <w:rPr>
          <w:noProof/>
        </w:rPr>
      </w:pPr>
      <w:r w:rsidRPr="00D1183D">
        <w:rPr>
          <w:noProof/>
        </w:rPr>
        <w:t>In view of the findings outlined above, the overall objective of the FSR remains valid and th</w:t>
      </w:r>
      <w:r w:rsidR="005753DF">
        <w:rPr>
          <w:noProof/>
        </w:rPr>
        <w:t>is</w:t>
      </w:r>
      <w:r w:rsidRPr="00D1183D">
        <w:rPr>
          <w:noProof/>
        </w:rPr>
        <w:t xml:space="preserve"> instrument contribute</w:t>
      </w:r>
      <w:r w:rsidR="00BC23F1">
        <w:rPr>
          <w:noProof/>
        </w:rPr>
        <w:t>s</w:t>
      </w:r>
      <w:r w:rsidRPr="00D1183D">
        <w:rPr>
          <w:noProof/>
        </w:rPr>
        <w:t xml:space="preserve"> positively to the preservation of the level playing field in the internal market. </w:t>
      </w:r>
      <w:r w:rsidR="00DD3D38" w:rsidRPr="00D1183D">
        <w:rPr>
          <w:noProof/>
        </w:rPr>
        <w:t>Moreover, in the absence of material developments at international level, which can contribute to the effective tackling of distortive foreign subsidies</w:t>
      </w:r>
      <w:r w:rsidR="00DD3D38" w:rsidRPr="005F1BD2">
        <w:rPr>
          <w:noProof/>
          <w:lang w:val="en-IE"/>
        </w:rPr>
        <w:t xml:space="preserve">, </w:t>
      </w:r>
      <w:r w:rsidR="00AF742C" w:rsidRPr="005F1BD2">
        <w:rPr>
          <w:noProof/>
          <w:lang w:val="en-IE"/>
        </w:rPr>
        <w:t>which are not caught by the traditional trade defence mechanisms of the Union</w:t>
      </w:r>
      <w:r w:rsidR="00DD3D38" w:rsidRPr="00AF742C">
        <w:rPr>
          <w:noProof/>
        </w:rPr>
        <w:t xml:space="preserve">, </w:t>
      </w:r>
      <w:r w:rsidR="00DD3D38" w:rsidRPr="00D1183D">
        <w:rPr>
          <w:noProof/>
        </w:rPr>
        <w:t xml:space="preserve">the FSR remains </w:t>
      </w:r>
      <w:r w:rsidR="00556392">
        <w:rPr>
          <w:noProof/>
        </w:rPr>
        <w:t xml:space="preserve">necessary </w:t>
      </w:r>
      <w:r w:rsidR="00AF742C">
        <w:rPr>
          <w:noProof/>
        </w:rPr>
        <w:t xml:space="preserve">to preserve </w:t>
      </w:r>
      <w:r w:rsidR="00497999">
        <w:rPr>
          <w:noProof/>
        </w:rPr>
        <w:t xml:space="preserve">the level playing field in the internal market. </w:t>
      </w:r>
    </w:p>
    <w:p w14:paraId="41279A65" w14:textId="68C86532" w:rsidR="00D10C8E" w:rsidRPr="00D1183D" w:rsidRDefault="00DD3D38" w:rsidP="004A1922">
      <w:pPr>
        <w:rPr>
          <w:noProof/>
        </w:rPr>
      </w:pPr>
      <w:r w:rsidRPr="00D1183D">
        <w:rPr>
          <w:noProof/>
        </w:rPr>
        <w:t xml:space="preserve">In terms of substantive </w:t>
      </w:r>
      <w:r w:rsidR="00095A2C">
        <w:rPr>
          <w:noProof/>
        </w:rPr>
        <w:t>concepts</w:t>
      </w:r>
      <w:r w:rsidRPr="00D1183D">
        <w:rPr>
          <w:noProof/>
        </w:rPr>
        <w:t xml:space="preserve">, while </w:t>
      </w:r>
      <w:r w:rsidR="00095A2C">
        <w:rPr>
          <w:noProof/>
        </w:rPr>
        <w:t>some questions remain</w:t>
      </w:r>
      <w:r w:rsidRPr="00D1183D">
        <w:rPr>
          <w:noProof/>
        </w:rPr>
        <w:t xml:space="preserve">, which </w:t>
      </w:r>
      <w:r w:rsidR="00152181">
        <w:rPr>
          <w:noProof/>
        </w:rPr>
        <w:t>is only to be expected when</w:t>
      </w:r>
      <w:r w:rsidRPr="00D1183D">
        <w:rPr>
          <w:noProof/>
        </w:rPr>
        <w:t xml:space="preserve"> a new legal framework</w:t>
      </w:r>
      <w:r w:rsidR="00152181">
        <w:rPr>
          <w:noProof/>
        </w:rPr>
        <w:t xml:space="preserve"> begins to be enforced</w:t>
      </w:r>
      <w:r w:rsidRPr="00D1183D">
        <w:rPr>
          <w:noProof/>
        </w:rPr>
        <w:t xml:space="preserve">, </w:t>
      </w:r>
      <w:r w:rsidR="00095A2C">
        <w:rPr>
          <w:noProof/>
        </w:rPr>
        <w:t>it appears premature</w:t>
      </w:r>
      <w:r w:rsidRPr="00D1183D">
        <w:rPr>
          <w:noProof/>
        </w:rPr>
        <w:t xml:space="preserve"> to </w:t>
      </w:r>
      <w:r w:rsidR="00EE13AD">
        <w:rPr>
          <w:noProof/>
        </w:rPr>
        <w:t xml:space="preserve">consider </w:t>
      </w:r>
      <w:r w:rsidR="00343AE8">
        <w:rPr>
          <w:noProof/>
        </w:rPr>
        <w:t>undertak</w:t>
      </w:r>
      <w:r w:rsidR="00EE13AD">
        <w:rPr>
          <w:noProof/>
        </w:rPr>
        <w:t>ing</w:t>
      </w:r>
      <w:r w:rsidR="00343AE8">
        <w:rPr>
          <w:noProof/>
        </w:rPr>
        <w:t xml:space="preserve"> structural changes</w:t>
      </w:r>
      <w:r w:rsidR="00D30D8D">
        <w:rPr>
          <w:noProof/>
        </w:rPr>
        <w:t xml:space="preserve"> of the FSR</w:t>
      </w:r>
      <w:r w:rsidRPr="00D1183D">
        <w:rPr>
          <w:noProof/>
        </w:rPr>
        <w:t xml:space="preserve">. </w:t>
      </w:r>
      <w:r w:rsidR="005753DF">
        <w:rPr>
          <w:noProof/>
        </w:rPr>
        <w:t>T</w:t>
      </w:r>
      <w:r w:rsidR="006F13E1" w:rsidRPr="00D1183D">
        <w:rPr>
          <w:noProof/>
        </w:rPr>
        <w:t xml:space="preserve">he recent </w:t>
      </w:r>
      <w:r w:rsidR="005753DF">
        <w:rPr>
          <w:noProof/>
        </w:rPr>
        <w:t>publication</w:t>
      </w:r>
      <w:r w:rsidR="005753DF" w:rsidRPr="00D1183D">
        <w:rPr>
          <w:noProof/>
        </w:rPr>
        <w:t xml:space="preserve"> </w:t>
      </w:r>
      <w:r w:rsidR="006F13E1" w:rsidRPr="00D1183D">
        <w:rPr>
          <w:noProof/>
        </w:rPr>
        <w:t xml:space="preserve">of the </w:t>
      </w:r>
      <w:r w:rsidR="003A1FCD" w:rsidRPr="00D1183D">
        <w:rPr>
          <w:noProof/>
        </w:rPr>
        <w:t xml:space="preserve">FSR Guidelines </w:t>
      </w:r>
      <w:r w:rsidR="00F11F0B" w:rsidRPr="00D1183D">
        <w:rPr>
          <w:noProof/>
        </w:rPr>
        <w:t xml:space="preserve">has provided further clarity </w:t>
      </w:r>
      <w:r w:rsidR="00B34F4F">
        <w:rPr>
          <w:noProof/>
        </w:rPr>
        <w:t xml:space="preserve">and predictability </w:t>
      </w:r>
      <w:r w:rsidR="00F11F0B" w:rsidRPr="00D1183D">
        <w:rPr>
          <w:noProof/>
        </w:rPr>
        <w:t xml:space="preserve">on the approach taken by the Commission </w:t>
      </w:r>
      <w:r w:rsidR="005753DF">
        <w:rPr>
          <w:noProof/>
        </w:rPr>
        <w:t>when</w:t>
      </w:r>
      <w:r w:rsidR="00F11F0B" w:rsidRPr="00D1183D">
        <w:rPr>
          <w:noProof/>
        </w:rPr>
        <w:t xml:space="preserve"> </w:t>
      </w:r>
      <w:r w:rsidR="001224FB">
        <w:rPr>
          <w:noProof/>
        </w:rPr>
        <w:t xml:space="preserve">applying these key assessment </w:t>
      </w:r>
      <w:r w:rsidR="00C71E81">
        <w:rPr>
          <w:noProof/>
        </w:rPr>
        <w:t>concepts</w:t>
      </w:r>
      <w:r w:rsidR="001224FB">
        <w:rPr>
          <w:noProof/>
        </w:rPr>
        <w:t xml:space="preserve">, including </w:t>
      </w:r>
      <w:r w:rsidR="00F11F0B" w:rsidRPr="00D1183D">
        <w:rPr>
          <w:noProof/>
        </w:rPr>
        <w:t>assess</w:t>
      </w:r>
      <w:r w:rsidR="005753DF">
        <w:rPr>
          <w:noProof/>
        </w:rPr>
        <w:t>ing</w:t>
      </w:r>
      <w:r w:rsidR="00F11F0B" w:rsidRPr="00D1183D">
        <w:rPr>
          <w:noProof/>
        </w:rPr>
        <w:t xml:space="preserve"> distortions, </w:t>
      </w:r>
      <w:r w:rsidR="001224FB">
        <w:rPr>
          <w:noProof/>
        </w:rPr>
        <w:t>conducting</w:t>
      </w:r>
      <w:r w:rsidR="001224FB" w:rsidRPr="00D1183D">
        <w:rPr>
          <w:noProof/>
        </w:rPr>
        <w:t xml:space="preserve"> </w:t>
      </w:r>
      <w:r w:rsidR="00F11F0B" w:rsidRPr="00D1183D">
        <w:rPr>
          <w:noProof/>
        </w:rPr>
        <w:t xml:space="preserve">the balancing test and </w:t>
      </w:r>
      <w:r w:rsidR="005753DF">
        <w:rPr>
          <w:noProof/>
        </w:rPr>
        <w:t xml:space="preserve">exploring </w:t>
      </w:r>
      <w:r w:rsidR="00F11F0B" w:rsidRPr="00D1183D">
        <w:rPr>
          <w:noProof/>
        </w:rPr>
        <w:t xml:space="preserve">the possibility to </w:t>
      </w:r>
      <w:r w:rsidR="00EE13AD">
        <w:rPr>
          <w:noProof/>
        </w:rPr>
        <w:t>call-in</w:t>
      </w:r>
      <w:r w:rsidR="00EE13AD" w:rsidRPr="00D1183D">
        <w:rPr>
          <w:noProof/>
        </w:rPr>
        <w:t xml:space="preserve"> </w:t>
      </w:r>
      <w:r w:rsidR="00F11F0B" w:rsidRPr="00D1183D">
        <w:rPr>
          <w:noProof/>
        </w:rPr>
        <w:t xml:space="preserve">notifications. These guidelines come in addition to </w:t>
      </w:r>
      <w:r w:rsidR="005753DF">
        <w:rPr>
          <w:noProof/>
        </w:rPr>
        <w:t>other</w:t>
      </w:r>
      <w:r w:rsidR="005753DF" w:rsidRPr="00D1183D">
        <w:rPr>
          <w:noProof/>
        </w:rPr>
        <w:t xml:space="preserve"> </w:t>
      </w:r>
      <w:r w:rsidR="00F11F0B" w:rsidRPr="00D1183D">
        <w:rPr>
          <w:noProof/>
        </w:rPr>
        <w:t xml:space="preserve">initiatives such as the </w:t>
      </w:r>
      <w:r w:rsidR="00C05125">
        <w:rPr>
          <w:noProof/>
        </w:rPr>
        <w:t xml:space="preserve">publication of </w:t>
      </w:r>
      <w:r w:rsidR="00F43E0F">
        <w:rPr>
          <w:noProof/>
        </w:rPr>
        <w:t>the non-confidential versions of the adopted final</w:t>
      </w:r>
      <w:r w:rsidR="00C05125">
        <w:rPr>
          <w:noProof/>
        </w:rPr>
        <w:t xml:space="preserve"> decisions under the FSR, </w:t>
      </w:r>
      <w:r w:rsidR="00F11F0B" w:rsidRPr="00D1183D">
        <w:rPr>
          <w:noProof/>
        </w:rPr>
        <w:t xml:space="preserve">regular updates to the </w:t>
      </w:r>
      <w:r w:rsidR="00627E9D">
        <w:rPr>
          <w:noProof/>
        </w:rPr>
        <w:t>Q</w:t>
      </w:r>
      <w:r w:rsidR="00EF6A3E">
        <w:rPr>
          <w:noProof/>
        </w:rPr>
        <w:t>&amp;A</w:t>
      </w:r>
      <w:r w:rsidR="00627E9D">
        <w:rPr>
          <w:noProof/>
        </w:rPr>
        <w:t>s</w:t>
      </w:r>
      <w:r w:rsidR="00F11F0B" w:rsidRPr="00E6306E">
        <w:rPr>
          <w:noProof/>
        </w:rPr>
        <w:t xml:space="preserve"> published on the Commission’s website</w:t>
      </w:r>
      <w:r w:rsidR="00C55EA5">
        <w:rPr>
          <w:noProof/>
        </w:rPr>
        <w:t xml:space="preserve"> (in the sections for </w:t>
      </w:r>
      <w:r w:rsidR="001238DC">
        <w:rPr>
          <w:noProof/>
        </w:rPr>
        <w:t>‘</w:t>
      </w:r>
      <w:r w:rsidR="00C55EA5">
        <w:rPr>
          <w:noProof/>
        </w:rPr>
        <w:t>Competition</w:t>
      </w:r>
      <w:r w:rsidR="001238DC">
        <w:rPr>
          <w:noProof/>
        </w:rPr>
        <w:t>’</w:t>
      </w:r>
      <w:r w:rsidR="00C55EA5">
        <w:rPr>
          <w:noProof/>
        </w:rPr>
        <w:t xml:space="preserve"> and </w:t>
      </w:r>
      <w:r w:rsidR="001238DC">
        <w:rPr>
          <w:noProof/>
        </w:rPr>
        <w:t>‘</w:t>
      </w:r>
      <w:r w:rsidR="00C55EA5">
        <w:rPr>
          <w:noProof/>
        </w:rPr>
        <w:t>Internal Market</w:t>
      </w:r>
      <w:r w:rsidR="001238DC">
        <w:rPr>
          <w:noProof/>
        </w:rPr>
        <w:t>’</w:t>
      </w:r>
      <w:r w:rsidR="0025055D">
        <w:rPr>
          <w:noProof/>
        </w:rPr>
        <w:t>,</w:t>
      </w:r>
      <w:r w:rsidR="00C55EA5">
        <w:rPr>
          <w:noProof/>
        </w:rPr>
        <w:t xml:space="preserve"> respectively)</w:t>
      </w:r>
      <w:r w:rsidR="00F11F0B" w:rsidRPr="00D1183D">
        <w:rPr>
          <w:noProof/>
        </w:rPr>
        <w:t>, and the publication of FSR briefs, where the Commission</w:t>
      </w:r>
      <w:r w:rsidR="005753DF">
        <w:rPr>
          <w:noProof/>
        </w:rPr>
        <w:t>’s</w:t>
      </w:r>
      <w:r w:rsidR="00F11F0B" w:rsidRPr="00D1183D">
        <w:rPr>
          <w:noProof/>
        </w:rPr>
        <w:t xml:space="preserve"> approach on specific cases or policy development is further explained. </w:t>
      </w:r>
      <w:r w:rsidR="0088027C">
        <w:rPr>
          <w:noProof/>
        </w:rPr>
        <w:t>T</w:t>
      </w:r>
      <w:r w:rsidR="00F11F0B" w:rsidRPr="00D1183D">
        <w:rPr>
          <w:noProof/>
        </w:rPr>
        <w:t>hose efforts, together with</w:t>
      </w:r>
      <w:r w:rsidRPr="00D1183D">
        <w:rPr>
          <w:noProof/>
        </w:rPr>
        <w:t xml:space="preserve"> the accumulation of more case practice</w:t>
      </w:r>
      <w:r w:rsidR="00627E9D">
        <w:rPr>
          <w:noProof/>
        </w:rPr>
        <w:t>,</w:t>
      </w:r>
      <w:r w:rsidRPr="00D1183D">
        <w:rPr>
          <w:noProof/>
        </w:rPr>
        <w:t xml:space="preserve"> </w:t>
      </w:r>
      <w:r w:rsidR="0088027C">
        <w:rPr>
          <w:noProof/>
        </w:rPr>
        <w:t>are</w:t>
      </w:r>
      <w:r w:rsidR="00BF66C9">
        <w:rPr>
          <w:noProof/>
        </w:rPr>
        <w:t xml:space="preserve"> positive steps that will </w:t>
      </w:r>
      <w:r w:rsidR="00A67435">
        <w:rPr>
          <w:noProof/>
        </w:rPr>
        <w:t xml:space="preserve">continue to </w:t>
      </w:r>
      <w:r w:rsidR="00BF66C9">
        <w:rPr>
          <w:noProof/>
        </w:rPr>
        <w:t>contribute</w:t>
      </w:r>
      <w:r w:rsidR="00D10C8E" w:rsidRPr="00D1183D">
        <w:rPr>
          <w:noProof/>
        </w:rPr>
        <w:t xml:space="preserve"> to the better understanding of</w:t>
      </w:r>
      <w:r w:rsidRPr="00D1183D">
        <w:rPr>
          <w:noProof/>
        </w:rPr>
        <w:t xml:space="preserve"> </w:t>
      </w:r>
      <w:r w:rsidR="005753DF" w:rsidRPr="00D1183D">
        <w:rPr>
          <w:noProof/>
        </w:rPr>
        <w:t xml:space="preserve">notions </w:t>
      </w:r>
      <w:r w:rsidR="005753DF">
        <w:rPr>
          <w:noProof/>
        </w:rPr>
        <w:t xml:space="preserve">specific to </w:t>
      </w:r>
      <w:r w:rsidR="00D10C8E" w:rsidRPr="00D1183D">
        <w:rPr>
          <w:noProof/>
        </w:rPr>
        <w:t>the FSR</w:t>
      </w:r>
      <w:r w:rsidRPr="00D1183D">
        <w:rPr>
          <w:noProof/>
        </w:rPr>
        <w:t xml:space="preserve">. </w:t>
      </w:r>
    </w:p>
    <w:p w14:paraId="286815B9" w14:textId="24C32AD3" w:rsidR="00DD3D38" w:rsidRPr="00D1183D" w:rsidRDefault="00DD3D38" w:rsidP="004A1922">
      <w:pPr>
        <w:rPr>
          <w:noProof/>
        </w:rPr>
      </w:pPr>
      <w:r w:rsidRPr="00D1183D">
        <w:rPr>
          <w:noProof/>
        </w:rPr>
        <w:t xml:space="preserve">Nevertheless, </w:t>
      </w:r>
      <w:r w:rsidR="006F13E1" w:rsidRPr="00D1183D">
        <w:rPr>
          <w:noProof/>
        </w:rPr>
        <w:t>effort</w:t>
      </w:r>
      <w:r w:rsidR="00573432">
        <w:rPr>
          <w:noProof/>
        </w:rPr>
        <w:t>s</w:t>
      </w:r>
      <w:r w:rsidR="00EA56A0">
        <w:rPr>
          <w:noProof/>
        </w:rPr>
        <w:t xml:space="preserve"> will be continued </w:t>
      </w:r>
      <w:r w:rsidR="006F13E1" w:rsidRPr="00D1183D">
        <w:rPr>
          <w:noProof/>
        </w:rPr>
        <w:t>to increase transparency</w:t>
      </w:r>
      <w:r w:rsidR="00AC00CB">
        <w:rPr>
          <w:noProof/>
        </w:rPr>
        <w:t>,</w:t>
      </w:r>
      <w:r w:rsidR="006F13E1" w:rsidRPr="00D1183D">
        <w:rPr>
          <w:noProof/>
        </w:rPr>
        <w:t xml:space="preserve"> legal certainty</w:t>
      </w:r>
      <w:r w:rsidR="00C55EA5">
        <w:rPr>
          <w:noProof/>
        </w:rPr>
        <w:t xml:space="preserve"> and predictability</w:t>
      </w:r>
      <w:r w:rsidR="006F13E1" w:rsidRPr="00D1183D">
        <w:rPr>
          <w:noProof/>
        </w:rPr>
        <w:t xml:space="preserve">, </w:t>
      </w:r>
      <w:r w:rsidR="00D10C8E" w:rsidRPr="00D1183D">
        <w:rPr>
          <w:noProof/>
        </w:rPr>
        <w:t xml:space="preserve">by engaging with stakeholders and by continuing </w:t>
      </w:r>
      <w:r w:rsidR="00EE13AD">
        <w:rPr>
          <w:noProof/>
        </w:rPr>
        <w:t>the</w:t>
      </w:r>
      <w:r w:rsidR="00EE13AD" w:rsidRPr="00D1183D">
        <w:rPr>
          <w:noProof/>
        </w:rPr>
        <w:t xml:space="preserve"> </w:t>
      </w:r>
      <w:r w:rsidR="00D10C8E" w:rsidRPr="00D1183D">
        <w:rPr>
          <w:noProof/>
        </w:rPr>
        <w:t xml:space="preserve">practices outlined </w:t>
      </w:r>
      <w:r w:rsidR="00D1183D">
        <w:rPr>
          <w:noProof/>
        </w:rPr>
        <w:t xml:space="preserve">in Section </w:t>
      </w:r>
      <w:r w:rsidR="00D1183D">
        <w:rPr>
          <w:noProof/>
        </w:rPr>
        <w:fldChar w:fldCharType="begin"/>
      </w:r>
      <w:r w:rsidR="00D1183D">
        <w:rPr>
          <w:noProof/>
        </w:rPr>
        <w:instrText xml:space="preserve"> REF _Ref227150596 \r \h </w:instrText>
      </w:r>
      <w:r w:rsidR="00D1183D">
        <w:rPr>
          <w:noProof/>
        </w:rPr>
      </w:r>
      <w:r w:rsidR="00D1183D">
        <w:rPr>
          <w:noProof/>
        </w:rPr>
        <w:fldChar w:fldCharType="separate"/>
      </w:r>
      <w:r w:rsidR="00227418">
        <w:rPr>
          <w:noProof/>
        </w:rPr>
        <w:t>4.3.1</w:t>
      </w:r>
      <w:r w:rsidR="00D1183D">
        <w:rPr>
          <w:noProof/>
        </w:rPr>
        <w:fldChar w:fldCharType="end"/>
      </w:r>
      <w:r w:rsidR="00D10C8E" w:rsidRPr="00D1183D">
        <w:rPr>
          <w:noProof/>
        </w:rPr>
        <w:t>.</w:t>
      </w:r>
      <w:r w:rsidR="00C05125">
        <w:rPr>
          <w:noProof/>
        </w:rPr>
        <w:t xml:space="preserve"> </w:t>
      </w:r>
    </w:p>
    <w:p w14:paraId="1664BCBB" w14:textId="1CE371C5" w:rsidR="0023635D" w:rsidRPr="00C278E9" w:rsidRDefault="006D1B8E" w:rsidP="00EA4DDE">
      <w:pPr>
        <w:pStyle w:val="Heading2"/>
        <w:rPr>
          <w:noProof/>
        </w:rPr>
      </w:pPr>
      <w:bookmarkStart w:id="163" w:name="_Toc234227888"/>
      <w:r>
        <w:rPr>
          <w:noProof/>
        </w:rPr>
        <w:t>In relation to the e</w:t>
      </w:r>
      <w:r w:rsidR="0023635D">
        <w:rPr>
          <w:noProof/>
        </w:rPr>
        <w:t>x officio procedure</w:t>
      </w:r>
      <w:bookmarkEnd w:id="163"/>
    </w:p>
    <w:p w14:paraId="16E07404" w14:textId="5658870B" w:rsidR="00BF66C9" w:rsidRPr="00732B6E" w:rsidRDefault="00BF66C9" w:rsidP="004A1922">
      <w:pPr>
        <w:rPr>
          <w:noProof/>
        </w:rPr>
      </w:pPr>
      <w:r w:rsidRPr="00D1183D">
        <w:rPr>
          <w:noProof/>
        </w:rPr>
        <w:t xml:space="preserve">Based on the findings above, the role and objective of the ex officio </w:t>
      </w:r>
      <w:r w:rsidR="008A6947">
        <w:rPr>
          <w:noProof/>
        </w:rPr>
        <w:t>procedure</w:t>
      </w:r>
      <w:r w:rsidRPr="00732B6E">
        <w:rPr>
          <w:noProof/>
        </w:rPr>
        <w:t xml:space="preserve"> of the FSR is perceived </w:t>
      </w:r>
      <w:r w:rsidR="00152181">
        <w:rPr>
          <w:noProof/>
        </w:rPr>
        <w:t xml:space="preserve">as positive </w:t>
      </w:r>
      <w:r w:rsidRPr="00732B6E">
        <w:rPr>
          <w:noProof/>
        </w:rPr>
        <w:t>and its importance</w:t>
      </w:r>
      <w:r w:rsidR="00F16766">
        <w:rPr>
          <w:noProof/>
        </w:rPr>
        <w:t>,</w:t>
      </w:r>
      <w:r w:rsidRPr="00732B6E">
        <w:rPr>
          <w:noProof/>
        </w:rPr>
        <w:t xml:space="preserve"> as part of the FSR investigative </w:t>
      </w:r>
      <w:r w:rsidR="00CC2C8C">
        <w:rPr>
          <w:noProof/>
        </w:rPr>
        <w:t>powers</w:t>
      </w:r>
      <w:r w:rsidR="00F16766">
        <w:rPr>
          <w:noProof/>
        </w:rPr>
        <w:t>,</w:t>
      </w:r>
      <w:r w:rsidRPr="00732B6E">
        <w:rPr>
          <w:noProof/>
        </w:rPr>
        <w:t xml:space="preserve"> is widely acknowledged.</w:t>
      </w:r>
    </w:p>
    <w:p w14:paraId="222135A9" w14:textId="7621F522" w:rsidR="00BF66C9" w:rsidRPr="00732B6E" w:rsidRDefault="00BF66C9" w:rsidP="004A1922">
      <w:pPr>
        <w:rPr>
          <w:noProof/>
        </w:rPr>
      </w:pPr>
      <w:r w:rsidRPr="00732B6E">
        <w:rPr>
          <w:noProof/>
        </w:rPr>
        <w:t xml:space="preserve">The recent advancement of two ex officio cases to in-depth investigation will help bring more transparency and better understanding of the approach taken by the Commission </w:t>
      </w:r>
      <w:r w:rsidR="00062FFC">
        <w:rPr>
          <w:noProof/>
        </w:rPr>
        <w:t xml:space="preserve">when assessing </w:t>
      </w:r>
      <w:r w:rsidR="00EE3935">
        <w:rPr>
          <w:noProof/>
        </w:rPr>
        <w:t>potentially distortive foreign subsidies</w:t>
      </w:r>
      <w:r w:rsidRPr="00732B6E">
        <w:rPr>
          <w:noProof/>
        </w:rPr>
        <w:t xml:space="preserve">. </w:t>
      </w:r>
    </w:p>
    <w:p w14:paraId="10BB27D9" w14:textId="449A3D1D" w:rsidR="00030521" w:rsidRPr="00D1183D" w:rsidRDefault="00BF63D7" w:rsidP="004A1922">
      <w:pPr>
        <w:rPr>
          <w:noProof/>
        </w:rPr>
      </w:pPr>
      <w:r>
        <w:rPr>
          <w:noProof/>
        </w:rPr>
        <w:t>In reply to</w:t>
      </w:r>
      <w:r w:rsidR="00030521" w:rsidRPr="00732B6E">
        <w:rPr>
          <w:noProof/>
        </w:rPr>
        <w:t xml:space="preserve"> the concerns expressed with respect to the length of </w:t>
      </w:r>
      <w:r w:rsidR="00D1183D">
        <w:rPr>
          <w:noProof/>
        </w:rPr>
        <w:t>investigations</w:t>
      </w:r>
      <w:r w:rsidR="00030521" w:rsidRPr="00D1183D">
        <w:rPr>
          <w:noProof/>
        </w:rPr>
        <w:t xml:space="preserve"> under th</w:t>
      </w:r>
      <w:r>
        <w:rPr>
          <w:noProof/>
        </w:rPr>
        <w:t xml:space="preserve">e ex officio </w:t>
      </w:r>
      <w:r w:rsidR="00EF6A3E">
        <w:rPr>
          <w:noProof/>
        </w:rPr>
        <w:t>procedure</w:t>
      </w:r>
      <w:r w:rsidR="00030521" w:rsidRPr="00D1183D">
        <w:rPr>
          <w:noProof/>
        </w:rPr>
        <w:t xml:space="preserve">, </w:t>
      </w:r>
      <w:r w:rsidR="00677E2F">
        <w:rPr>
          <w:noProof/>
        </w:rPr>
        <w:t xml:space="preserve">it </w:t>
      </w:r>
      <w:r w:rsidR="00405B2B">
        <w:rPr>
          <w:noProof/>
        </w:rPr>
        <w:t>should be noted</w:t>
      </w:r>
      <w:r w:rsidR="007315D1">
        <w:rPr>
          <w:noProof/>
        </w:rPr>
        <w:t xml:space="preserve"> </w:t>
      </w:r>
      <w:r>
        <w:rPr>
          <w:noProof/>
        </w:rPr>
        <w:t xml:space="preserve">that the length depends on </w:t>
      </w:r>
      <w:r w:rsidR="007315D1">
        <w:rPr>
          <w:noProof/>
        </w:rPr>
        <w:t>the level of complexity in individual cases</w:t>
      </w:r>
      <w:r w:rsidR="00116B02">
        <w:rPr>
          <w:noProof/>
        </w:rPr>
        <w:t>, the degree of cooperation by the undertakings under investigation and</w:t>
      </w:r>
      <w:r w:rsidR="00573432">
        <w:rPr>
          <w:noProof/>
        </w:rPr>
        <w:t>,</w:t>
      </w:r>
      <w:r w:rsidR="00116B02">
        <w:rPr>
          <w:noProof/>
        </w:rPr>
        <w:t xml:space="preserve"> in some instances, by the actions brought by the EU Courts</w:t>
      </w:r>
      <w:r w:rsidR="007315D1">
        <w:rPr>
          <w:noProof/>
        </w:rPr>
        <w:t xml:space="preserve">. </w:t>
      </w:r>
    </w:p>
    <w:p w14:paraId="4BAE0173" w14:textId="596A1294" w:rsidR="00030521" w:rsidRPr="00D1183D" w:rsidRDefault="00EA56A0" w:rsidP="004A1922">
      <w:pPr>
        <w:rPr>
          <w:noProof/>
        </w:rPr>
      </w:pPr>
      <w:r>
        <w:rPr>
          <w:noProof/>
        </w:rPr>
        <w:t>E</w:t>
      </w:r>
      <w:r w:rsidR="00030521" w:rsidRPr="00D1183D">
        <w:rPr>
          <w:noProof/>
        </w:rPr>
        <w:t>fforts</w:t>
      </w:r>
      <w:r>
        <w:rPr>
          <w:noProof/>
        </w:rPr>
        <w:t xml:space="preserve"> will be continued</w:t>
      </w:r>
      <w:r w:rsidR="00030521" w:rsidRPr="00D1183D">
        <w:rPr>
          <w:noProof/>
        </w:rPr>
        <w:t xml:space="preserve"> to increase transparency and provide </w:t>
      </w:r>
      <w:r w:rsidR="00AE1004">
        <w:rPr>
          <w:noProof/>
        </w:rPr>
        <w:t>further</w:t>
      </w:r>
      <w:r w:rsidR="00030521" w:rsidRPr="00D1183D">
        <w:rPr>
          <w:noProof/>
        </w:rPr>
        <w:t xml:space="preserve"> insight</w:t>
      </w:r>
      <w:r w:rsidR="00AE1004">
        <w:rPr>
          <w:noProof/>
        </w:rPr>
        <w:t>s</w:t>
      </w:r>
      <w:r w:rsidR="00030521" w:rsidRPr="00D1183D">
        <w:rPr>
          <w:noProof/>
        </w:rPr>
        <w:t xml:space="preserve"> in</w:t>
      </w:r>
      <w:r w:rsidR="00CE669B">
        <w:rPr>
          <w:noProof/>
        </w:rPr>
        <w:t>to</w:t>
      </w:r>
      <w:r w:rsidR="00030521" w:rsidRPr="00D1183D">
        <w:rPr>
          <w:noProof/>
        </w:rPr>
        <w:t xml:space="preserve"> </w:t>
      </w:r>
      <w:r w:rsidR="00CE669B">
        <w:rPr>
          <w:noProof/>
        </w:rPr>
        <w:t xml:space="preserve">the </w:t>
      </w:r>
      <w:r w:rsidR="00030521" w:rsidRPr="00D1183D">
        <w:rPr>
          <w:noProof/>
        </w:rPr>
        <w:t xml:space="preserve">approach </w:t>
      </w:r>
      <w:r w:rsidR="00CE669B">
        <w:rPr>
          <w:noProof/>
        </w:rPr>
        <w:t xml:space="preserve">to </w:t>
      </w:r>
      <w:r w:rsidR="00030521" w:rsidRPr="00D1183D">
        <w:rPr>
          <w:noProof/>
        </w:rPr>
        <w:t xml:space="preserve">ex officio cases in line with the practices outlined </w:t>
      </w:r>
      <w:r w:rsidR="00D1183D">
        <w:rPr>
          <w:noProof/>
        </w:rPr>
        <w:t>in Section</w:t>
      </w:r>
      <w:r w:rsidR="00732B6E">
        <w:rPr>
          <w:noProof/>
        </w:rPr>
        <w:t xml:space="preserve"> </w:t>
      </w:r>
      <w:r w:rsidR="00732B6E">
        <w:rPr>
          <w:noProof/>
        </w:rPr>
        <w:fldChar w:fldCharType="begin"/>
      </w:r>
      <w:r w:rsidR="00732B6E">
        <w:rPr>
          <w:noProof/>
        </w:rPr>
        <w:instrText xml:space="preserve"> REF _Ref227150596 \r \h </w:instrText>
      </w:r>
      <w:r w:rsidR="00EA4DDE">
        <w:rPr>
          <w:noProof/>
        </w:rPr>
        <w:instrText xml:space="preserve"> \* MERGEFORMAT </w:instrText>
      </w:r>
      <w:r w:rsidR="00732B6E">
        <w:rPr>
          <w:noProof/>
        </w:rPr>
      </w:r>
      <w:r w:rsidR="00732B6E">
        <w:rPr>
          <w:noProof/>
        </w:rPr>
        <w:fldChar w:fldCharType="separate"/>
      </w:r>
      <w:r w:rsidR="00227418">
        <w:rPr>
          <w:noProof/>
        </w:rPr>
        <w:t>4.3.1</w:t>
      </w:r>
      <w:r w:rsidR="00732B6E">
        <w:rPr>
          <w:noProof/>
        </w:rPr>
        <w:fldChar w:fldCharType="end"/>
      </w:r>
      <w:r w:rsidR="00030521" w:rsidRPr="00D1183D">
        <w:rPr>
          <w:noProof/>
        </w:rPr>
        <w:t>.</w:t>
      </w:r>
      <w:r w:rsidR="00732B6E">
        <w:rPr>
          <w:noProof/>
        </w:rPr>
        <w:t xml:space="preserve"> </w:t>
      </w:r>
    </w:p>
    <w:p w14:paraId="3FBA3AD6" w14:textId="04BD81AB" w:rsidR="314EE93A" w:rsidRPr="00ED615F" w:rsidRDefault="006D1B8E" w:rsidP="003E2E12">
      <w:pPr>
        <w:pStyle w:val="Heading2"/>
        <w:rPr>
          <w:noProof/>
          <w:szCs w:val="24"/>
          <w:lang w:val="en-IE"/>
        </w:rPr>
      </w:pPr>
      <w:bookmarkStart w:id="164" w:name="_Toc234227889"/>
      <w:r>
        <w:rPr>
          <w:noProof/>
        </w:rPr>
        <w:t>In relation to the n</w:t>
      </w:r>
      <w:r w:rsidR="0088027C">
        <w:rPr>
          <w:noProof/>
        </w:rPr>
        <w:t>otification</w:t>
      </w:r>
      <w:r w:rsidR="00A50602" w:rsidRPr="00C278E9">
        <w:rPr>
          <w:noProof/>
        </w:rPr>
        <w:t xml:space="preserve"> procedure for concentrations</w:t>
      </w:r>
      <w:bookmarkEnd w:id="164"/>
    </w:p>
    <w:p w14:paraId="6C9E12D6" w14:textId="0FBB8258" w:rsidR="00116B02" w:rsidRDefault="00405B2B" w:rsidP="004A1922">
      <w:pPr>
        <w:rPr>
          <w:noProof/>
          <w:lang w:val="en-IE"/>
        </w:rPr>
      </w:pPr>
      <w:r>
        <w:rPr>
          <w:noProof/>
        </w:rPr>
        <w:t>As confirmed by the review</w:t>
      </w:r>
      <w:r w:rsidR="00DE2B3C">
        <w:rPr>
          <w:noProof/>
        </w:rPr>
        <w:t>, the notification procedure for concentrations remains an important element of the FSR regulatory set up, allowing the Commission to identify and address distortive foreign subsidies in the context of acquisitions.</w:t>
      </w:r>
    </w:p>
    <w:p w14:paraId="08AF3A3C" w14:textId="27842C95" w:rsidR="00D15767" w:rsidRPr="00732B6E" w:rsidRDefault="00D15767" w:rsidP="004A1922">
      <w:pPr>
        <w:rPr>
          <w:noProof/>
          <w:lang w:val="en-IE"/>
        </w:rPr>
      </w:pPr>
      <w:r w:rsidRPr="00732B6E">
        <w:rPr>
          <w:noProof/>
          <w:lang w:val="en-IE"/>
        </w:rPr>
        <w:t>A</w:t>
      </w:r>
      <w:r w:rsidR="00DE2B3C">
        <w:rPr>
          <w:noProof/>
          <w:lang w:val="en-IE"/>
        </w:rPr>
        <w:t>t the same time, a</w:t>
      </w:r>
      <w:r w:rsidRPr="00732B6E">
        <w:rPr>
          <w:noProof/>
          <w:lang w:val="en-IE"/>
        </w:rPr>
        <w:t xml:space="preserve"> significant portion of the feedback received in the context of the </w:t>
      </w:r>
      <w:r w:rsidR="003833D0">
        <w:rPr>
          <w:noProof/>
          <w:lang w:val="en-IE"/>
        </w:rPr>
        <w:t>S</w:t>
      </w:r>
      <w:r w:rsidR="00343AE8">
        <w:rPr>
          <w:noProof/>
          <w:lang w:val="en-IE"/>
        </w:rPr>
        <w:t>takeholders</w:t>
      </w:r>
      <w:r w:rsidR="00732B6E">
        <w:rPr>
          <w:noProof/>
          <w:lang w:val="en-IE"/>
        </w:rPr>
        <w:t>’</w:t>
      </w:r>
      <w:r w:rsidR="00343AE8">
        <w:rPr>
          <w:noProof/>
          <w:lang w:val="en-IE"/>
        </w:rPr>
        <w:t xml:space="preserve"> </w:t>
      </w:r>
      <w:r w:rsidR="003833D0">
        <w:rPr>
          <w:noProof/>
          <w:lang w:val="en-IE"/>
        </w:rPr>
        <w:t>C</w:t>
      </w:r>
      <w:r w:rsidR="00343AE8">
        <w:rPr>
          <w:noProof/>
          <w:lang w:val="en-IE"/>
        </w:rPr>
        <w:t>onsultation</w:t>
      </w:r>
      <w:r w:rsidRPr="00732B6E">
        <w:rPr>
          <w:noProof/>
          <w:lang w:val="en-IE"/>
        </w:rPr>
        <w:t xml:space="preserve"> </w:t>
      </w:r>
      <w:r w:rsidR="00343AE8">
        <w:rPr>
          <w:noProof/>
          <w:lang w:val="en-IE"/>
        </w:rPr>
        <w:t>focused on</w:t>
      </w:r>
      <w:r w:rsidRPr="00732B6E">
        <w:rPr>
          <w:noProof/>
          <w:lang w:val="en-IE"/>
        </w:rPr>
        <w:t xml:space="preserve"> the</w:t>
      </w:r>
      <w:r w:rsidDel="00343AE8">
        <w:rPr>
          <w:noProof/>
          <w:lang w:val="en-IE"/>
        </w:rPr>
        <w:t xml:space="preserve"> </w:t>
      </w:r>
      <w:r w:rsidRPr="00732B6E">
        <w:rPr>
          <w:noProof/>
          <w:lang w:val="en-IE"/>
        </w:rPr>
        <w:t>administrative burden associated with the notification system for concentration</w:t>
      </w:r>
      <w:r w:rsidR="00CF177E">
        <w:rPr>
          <w:noProof/>
          <w:lang w:val="en-IE"/>
        </w:rPr>
        <w:t>s</w:t>
      </w:r>
      <w:r w:rsidRPr="00732B6E">
        <w:rPr>
          <w:noProof/>
          <w:lang w:val="en-IE"/>
        </w:rPr>
        <w:t xml:space="preserve">. </w:t>
      </w:r>
    </w:p>
    <w:p w14:paraId="0D6D7DF5" w14:textId="09F027CA" w:rsidR="00D15767" w:rsidRPr="00732B6E" w:rsidRDefault="00030521" w:rsidP="004A1922">
      <w:pPr>
        <w:rPr>
          <w:noProof/>
          <w:lang w:val="en-IE"/>
        </w:rPr>
      </w:pPr>
      <w:r w:rsidRPr="00732B6E">
        <w:rPr>
          <w:noProof/>
          <w:lang w:val="en-IE"/>
        </w:rPr>
        <w:t xml:space="preserve">The Commission </w:t>
      </w:r>
      <w:r w:rsidR="000B6DBB">
        <w:rPr>
          <w:noProof/>
          <w:lang w:val="en-IE"/>
        </w:rPr>
        <w:t xml:space="preserve">services </w:t>
      </w:r>
      <w:r w:rsidR="00D15767" w:rsidRPr="00732B6E">
        <w:rPr>
          <w:noProof/>
          <w:lang w:val="en-IE"/>
        </w:rPr>
        <w:t>ha</w:t>
      </w:r>
      <w:r w:rsidR="000B6DBB">
        <w:rPr>
          <w:noProof/>
          <w:lang w:val="en-IE"/>
        </w:rPr>
        <w:t>ve</w:t>
      </w:r>
      <w:r w:rsidR="00D15767" w:rsidRPr="00732B6E">
        <w:rPr>
          <w:noProof/>
          <w:lang w:val="en-IE"/>
        </w:rPr>
        <w:t xml:space="preserve"> </w:t>
      </w:r>
      <w:r w:rsidR="00343AE8">
        <w:rPr>
          <w:noProof/>
          <w:lang w:val="en-IE"/>
        </w:rPr>
        <w:t xml:space="preserve">also </w:t>
      </w:r>
      <w:r w:rsidR="00D15767" w:rsidRPr="00732B6E">
        <w:rPr>
          <w:noProof/>
          <w:lang w:val="en-IE"/>
        </w:rPr>
        <w:t xml:space="preserve">carefully screened </w:t>
      </w:r>
      <w:r w:rsidR="000B6DBB">
        <w:rPr>
          <w:noProof/>
          <w:lang w:val="en-IE"/>
        </w:rPr>
        <w:t>the</w:t>
      </w:r>
      <w:r w:rsidR="000B6DBB" w:rsidRPr="00732B6E">
        <w:rPr>
          <w:noProof/>
          <w:lang w:val="en-IE"/>
        </w:rPr>
        <w:t xml:space="preserve"> </w:t>
      </w:r>
      <w:r w:rsidRPr="00732B6E">
        <w:rPr>
          <w:noProof/>
          <w:lang w:val="en-IE"/>
        </w:rPr>
        <w:t xml:space="preserve">enforcement </w:t>
      </w:r>
      <w:r w:rsidR="00D15767" w:rsidRPr="00732B6E">
        <w:rPr>
          <w:noProof/>
          <w:lang w:val="en-IE"/>
        </w:rPr>
        <w:t>practice</w:t>
      </w:r>
      <w:r w:rsidR="000B6DBB">
        <w:rPr>
          <w:noProof/>
          <w:lang w:val="en-IE"/>
        </w:rPr>
        <w:t xml:space="preserve"> to date</w:t>
      </w:r>
      <w:r w:rsidR="00D15767" w:rsidRPr="00732B6E">
        <w:rPr>
          <w:noProof/>
          <w:lang w:val="en-IE"/>
        </w:rPr>
        <w:t xml:space="preserve"> to </w:t>
      </w:r>
      <w:r w:rsidR="0088027C">
        <w:rPr>
          <w:noProof/>
          <w:lang w:val="en-IE"/>
        </w:rPr>
        <w:t>determine whether it is possible</w:t>
      </w:r>
      <w:r w:rsidR="00D15767" w:rsidRPr="00732B6E">
        <w:rPr>
          <w:noProof/>
          <w:lang w:val="en-IE"/>
        </w:rPr>
        <w:t xml:space="preserve"> to </w:t>
      </w:r>
      <w:r w:rsidR="0088027C">
        <w:rPr>
          <w:noProof/>
          <w:lang w:val="en-IE"/>
        </w:rPr>
        <w:t xml:space="preserve">further </w:t>
      </w:r>
      <w:r w:rsidR="00816CF9">
        <w:rPr>
          <w:noProof/>
          <w:lang w:val="en-IE"/>
        </w:rPr>
        <w:t>streamline</w:t>
      </w:r>
      <w:r w:rsidR="00816CF9" w:rsidRPr="00732B6E">
        <w:rPr>
          <w:noProof/>
          <w:lang w:val="en-IE"/>
        </w:rPr>
        <w:t xml:space="preserve"> </w:t>
      </w:r>
      <w:r w:rsidR="00D15767" w:rsidRPr="00732B6E">
        <w:rPr>
          <w:noProof/>
          <w:lang w:val="en-IE"/>
        </w:rPr>
        <w:t xml:space="preserve">the reporting obligation while still preserving the possibility for </w:t>
      </w:r>
      <w:r w:rsidR="0039204C">
        <w:rPr>
          <w:noProof/>
          <w:lang w:val="en-IE"/>
        </w:rPr>
        <w:t>it</w:t>
      </w:r>
      <w:r w:rsidR="00D15767" w:rsidRPr="00732B6E">
        <w:rPr>
          <w:noProof/>
          <w:lang w:val="en-IE"/>
        </w:rPr>
        <w:t xml:space="preserve"> to meaningfully review and assess notified concentrations for the presence of distortive foreign subsidies. </w:t>
      </w:r>
    </w:p>
    <w:p w14:paraId="315F4C7F" w14:textId="1E3CD92B" w:rsidR="00DC2EFB" w:rsidRDefault="00816CF9" w:rsidP="004A1922">
      <w:pPr>
        <w:rPr>
          <w:noProof/>
          <w:lang w:val="en-IE"/>
        </w:rPr>
      </w:pPr>
      <w:r>
        <w:rPr>
          <w:noProof/>
          <w:lang w:val="en-IE"/>
        </w:rPr>
        <w:t>A</w:t>
      </w:r>
      <w:r w:rsidR="00817A12">
        <w:rPr>
          <w:noProof/>
          <w:lang w:val="en-IE"/>
        </w:rPr>
        <w:t xml:space="preserve">s identified in Section </w:t>
      </w:r>
      <w:r w:rsidR="00817A12">
        <w:rPr>
          <w:noProof/>
          <w:lang w:val="en-IE"/>
        </w:rPr>
        <w:fldChar w:fldCharType="begin"/>
      </w:r>
      <w:r w:rsidR="00817A12">
        <w:rPr>
          <w:noProof/>
          <w:lang w:val="en-IE"/>
        </w:rPr>
        <w:instrText xml:space="preserve"> REF _Ref231830253 \r \h </w:instrText>
      </w:r>
      <w:r w:rsidR="00817A12">
        <w:rPr>
          <w:noProof/>
          <w:lang w:val="en-IE"/>
        </w:rPr>
      </w:r>
      <w:r w:rsidR="00817A12">
        <w:rPr>
          <w:noProof/>
          <w:lang w:val="en-IE"/>
        </w:rPr>
        <w:fldChar w:fldCharType="separate"/>
      </w:r>
      <w:r w:rsidR="00227418">
        <w:rPr>
          <w:noProof/>
          <w:lang w:val="en-IE"/>
        </w:rPr>
        <w:t>5.2.3.5</w:t>
      </w:r>
      <w:r w:rsidR="00817A12">
        <w:rPr>
          <w:noProof/>
          <w:lang w:val="en-IE"/>
        </w:rPr>
        <w:fldChar w:fldCharType="end"/>
      </w:r>
      <w:r>
        <w:rPr>
          <w:noProof/>
          <w:lang w:val="en-IE"/>
        </w:rPr>
        <w:t>, stakeholders have raised concerns related to</w:t>
      </w:r>
      <w:r w:rsidR="00817A12">
        <w:rPr>
          <w:noProof/>
          <w:lang w:val="en-IE"/>
        </w:rPr>
        <w:t xml:space="preserve"> </w:t>
      </w:r>
      <w:r w:rsidR="006A6F99">
        <w:rPr>
          <w:noProof/>
          <w:lang w:val="en-IE"/>
        </w:rPr>
        <w:t>(a)</w:t>
      </w:r>
      <w:r w:rsidR="00EE13AD">
        <w:rPr>
          <w:noProof/>
          <w:lang w:val="en-IE"/>
        </w:rPr>
        <w:t> </w:t>
      </w:r>
      <w:r w:rsidR="00817A12">
        <w:rPr>
          <w:noProof/>
          <w:lang w:val="en-IE"/>
        </w:rPr>
        <w:t xml:space="preserve">the </w:t>
      </w:r>
      <w:r>
        <w:rPr>
          <w:noProof/>
          <w:lang w:val="en-IE"/>
        </w:rPr>
        <w:t xml:space="preserve">perceived </w:t>
      </w:r>
      <w:r w:rsidR="00817A12">
        <w:rPr>
          <w:noProof/>
          <w:lang w:val="en-IE"/>
        </w:rPr>
        <w:t xml:space="preserve">burden associated with </w:t>
      </w:r>
      <w:r w:rsidR="00F009A6">
        <w:rPr>
          <w:noProof/>
          <w:lang w:val="en-IE"/>
        </w:rPr>
        <w:t xml:space="preserve">the </w:t>
      </w:r>
      <w:r w:rsidR="00817A12" w:rsidRPr="00817A12">
        <w:rPr>
          <w:noProof/>
          <w:lang w:val="en-IE"/>
        </w:rPr>
        <w:t>identification, collection and reporting of FFC</w:t>
      </w:r>
      <w:r w:rsidR="00817A12">
        <w:rPr>
          <w:noProof/>
          <w:lang w:val="en-IE"/>
        </w:rPr>
        <w:t xml:space="preserve"> and </w:t>
      </w:r>
      <w:r w:rsidR="00DC2EFB">
        <w:rPr>
          <w:noProof/>
          <w:lang w:val="en-IE"/>
        </w:rPr>
        <w:t>the</w:t>
      </w:r>
      <w:r w:rsidR="00F009A6">
        <w:rPr>
          <w:noProof/>
          <w:lang w:val="en-IE"/>
        </w:rPr>
        <w:t xml:space="preserve"> </w:t>
      </w:r>
      <w:r w:rsidR="00DC2EFB" w:rsidRPr="00DC2EFB">
        <w:rPr>
          <w:noProof/>
          <w:lang w:val="en-IE"/>
        </w:rPr>
        <w:t xml:space="preserve">scope of information required by </w:t>
      </w:r>
      <w:r>
        <w:rPr>
          <w:noProof/>
          <w:lang w:val="en-IE"/>
        </w:rPr>
        <w:t>notification forms</w:t>
      </w:r>
      <w:r w:rsidR="00DC2EFB" w:rsidRPr="00DC2EFB">
        <w:rPr>
          <w:noProof/>
          <w:lang w:val="en-IE"/>
        </w:rPr>
        <w:t xml:space="preserve"> </w:t>
      </w:r>
      <w:r w:rsidR="006A6F99">
        <w:rPr>
          <w:noProof/>
          <w:lang w:val="en-IE"/>
        </w:rPr>
        <w:t>and (b)</w:t>
      </w:r>
      <w:r w:rsidR="00EE13AD">
        <w:rPr>
          <w:noProof/>
          <w:lang w:val="en-IE"/>
        </w:rPr>
        <w:t> </w:t>
      </w:r>
      <w:r w:rsidR="006A6F99">
        <w:rPr>
          <w:noProof/>
          <w:lang w:val="en-IE"/>
        </w:rPr>
        <w:t>the perceived u</w:t>
      </w:r>
      <w:r w:rsidR="006A6F99" w:rsidRPr="006A6F99">
        <w:rPr>
          <w:noProof/>
          <w:lang w:val="en-IE"/>
        </w:rPr>
        <w:t>ncertainty linked to possibility of call-in and deterrent effect of wide-ranging provisions</w:t>
      </w:r>
      <w:r w:rsidR="00EA56A0">
        <w:rPr>
          <w:noProof/>
          <w:lang w:val="en-IE"/>
        </w:rPr>
        <w:t>:</w:t>
      </w:r>
    </w:p>
    <w:p w14:paraId="5D5A5748" w14:textId="43DE5F95" w:rsidR="006A6F99" w:rsidRDefault="006A6F99" w:rsidP="006041B3">
      <w:pPr>
        <w:pStyle w:val="ListNumberLevel2"/>
        <w:keepNext/>
        <w:numPr>
          <w:ilvl w:val="1"/>
          <w:numId w:val="171"/>
        </w:numPr>
        <w:ind w:left="1418" w:hanging="709"/>
        <w:rPr>
          <w:noProof/>
          <w:lang w:val="en-IE"/>
        </w:rPr>
      </w:pPr>
      <w:r>
        <w:rPr>
          <w:noProof/>
          <w:lang w:val="en-IE"/>
        </w:rPr>
        <w:t xml:space="preserve">Perceived burden associated with the </w:t>
      </w:r>
      <w:r w:rsidRPr="00817A12">
        <w:rPr>
          <w:noProof/>
          <w:lang w:val="en-IE"/>
        </w:rPr>
        <w:t>identification, collection and reporting of FFC</w:t>
      </w:r>
      <w:r w:rsidR="00EE13AD">
        <w:rPr>
          <w:noProof/>
          <w:lang w:val="en-IE"/>
        </w:rPr>
        <w:t>s</w:t>
      </w:r>
      <w:r>
        <w:rPr>
          <w:noProof/>
          <w:lang w:val="en-IE"/>
        </w:rPr>
        <w:t xml:space="preserve"> and with the </w:t>
      </w:r>
      <w:r w:rsidRPr="00DC2EFB">
        <w:rPr>
          <w:noProof/>
          <w:lang w:val="en-IE"/>
        </w:rPr>
        <w:t xml:space="preserve">scope of information required </w:t>
      </w:r>
    </w:p>
    <w:p w14:paraId="279272BA" w14:textId="2F3D61AF" w:rsidR="00EA56A0" w:rsidRDefault="00DC2EFB" w:rsidP="006A6F99">
      <w:pPr>
        <w:rPr>
          <w:noProof/>
          <w:lang w:val="en-IE"/>
        </w:rPr>
      </w:pPr>
      <w:r w:rsidRPr="002D1A8D">
        <w:rPr>
          <w:noProof/>
          <w:lang w:val="en-IE"/>
        </w:rPr>
        <w:t xml:space="preserve">In order to address </w:t>
      </w:r>
      <w:r w:rsidR="006A6F99" w:rsidRPr="002D1A8D">
        <w:rPr>
          <w:noProof/>
          <w:lang w:val="en-IE"/>
        </w:rPr>
        <w:t>this concern</w:t>
      </w:r>
      <w:r w:rsidRPr="002D1A8D">
        <w:rPr>
          <w:noProof/>
          <w:lang w:val="en-IE"/>
        </w:rPr>
        <w:t xml:space="preserve">, </w:t>
      </w:r>
      <w:r w:rsidR="00EE13AD" w:rsidRPr="002D1A8D">
        <w:rPr>
          <w:noProof/>
          <w:lang w:val="en-IE"/>
        </w:rPr>
        <w:t xml:space="preserve">it </w:t>
      </w:r>
      <w:r w:rsidRPr="002D1A8D">
        <w:rPr>
          <w:noProof/>
          <w:lang w:val="en-IE"/>
        </w:rPr>
        <w:t xml:space="preserve">may </w:t>
      </w:r>
      <w:r w:rsidR="00EE13AD" w:rsidRPr="002D1A8D">
        <w:rPr>
          <w:noProof/>
          <w:lang w:val="en-IE"/>
        </w:rPr>
        <w:t>be appropriate to</w:t>
      </w:r>
      <w:r w:rsidRPr="002D1A8D">
        <w:rPr>
          <w:noProof/>
          <w:lang w:val="en-IE"/>
        </w:rPr>
        <w:t xml:space="preserve"> consider </w:t>
      </w:r>
      <w:r w:rsidR="00193A0D">
        <w:rPr>
          <w:noProof/>
          <w:lang w:val="en-IE"/>
        </w:rPr>
        <w:t>possible adjustments</w:t>
      </w:r>
      <w:r w:rsidRPr="002D1A8D">
        <w:rPr>
          <w:noProof/>
          <w:lang w:val="en-IE"/>
        </w:rPr>
        <w:t xml:space="preserve"> to the </w:t>
      </w:r>
      <w:r w:rsidR="00816CF9" w:rsidRPr="002D1A8D">
        <w:rPr>
          <w:noProof/>
          <w:lang w:val="en-IE"/>
        </w:rPr>
        <w:t xml:space="preserve">FSR </w:t>
      </w:r>
      <w:r w:rsidRPr="002D1A8D">
        <w:rPr>
          <w:noProof/>
          <w:lang w:val="en-IE"/>
        </w:rPr>
        <w:t>procedural set up</w:t>
      </w:r>
      <w:r w:rsidR="002D1A8D" w:rsidRPr="00B641E5">
        <w:rPr>
          <w:noProof/>
          <w:lang w:val="en-IE"/>
        </w:rPr>
        <w:t>.</w:t>
      </w:r>
      <w:r w:rsidRPr="002D1A8D">
        <w:rPr>
          <w:noProof/>
          <w:lang w:val="en-IE"/>
        </w:rPr>
        <w:t xml:space="preserve"> </w:t>
      </w:r>
      <w:r w:rsidR="002D1A8D" w:rsidRPr="00B641E5">
        <w:rPr>
          <w:noProof/>
          <w:lang w:val="en-IE"/>
        </w:rPr>
        <w:t xml:space="preserve">Such </w:t>
      </w:r>
      <w:r w:rsidR="00193A0D">
        <w:rPr>
          <w:noProof/>
          <w:lang w:val="en-IE"/>
        </w:rPr>
        <w:t>adjustments</w:t>
      </w:r>
      <w:r w:rsidR="00193A0D" w:rsidRPr="002D1A8D">
        <w:rPr>
          <w:noProof/>
          <w:lang w:val="en-IE"/>
        </w:rPr>
        <w:t xml:space="preserve"> </w:t>
      </w:r>
      <w:r w:rsidR="001B1543" w:rsidRPr="002D1A8D">
        <w:rPr>
          <w:noProof/>
          <w:lang w:val="en-IE"/>
        </w:rPr>
        <w:t>w</w:t>
      </w:r>
      <w:r w:rsidRPr="002D1A8D">
        <w:rPr>
          <w:noProof/>
          <w:lang w:val="en-IE"/>
        </w:rPr>
        <w:t>ould lead to a reduction in the overall number of notifications and a more streamlined reporting for certain categories of cases or types of FFCs, which could be considered less likely to raise concern</w:t>
      </w:r>
      <w:r w:rsidR="002D1A8D">
        <w:rPr>
          <w:noProof/>
          <w:lang w:val="en-IE"/>
        </w:rPr>
        <w:t xml:space="preserve">, </w:t>
      </w:r>
      <w:r w:rsidR="002D1A8D" w:rsidRPr="002D1A8D">
        <w:rPr>
          <w:noProof/>
          <w:lang w:val="en-IE"/>
        </w:rPr>
        <w:t>in line with feedback received from stakeholders</w:t>
      </w:r>
      <w:r>
        <w:rPr>
          <w:noProof/>
          <w:lang w:val="en-IE"/>
        </w:rPr>
        <w:t>.</w:t>
      </w:r>
    </w:p>
    <w:p w14:paraId="27E3EA37" w14:textId="18E4377F" w:rsidR="00C42FDB" w:rsidRDefault="00F009A6" w:rsidP="004A1922">
      <w:pPr>
        <w:rPr>
          <w:noProof/>
        </w:rPr>
      </w:pPr>
      <w:r w:rsidRPr="00193A0D">
        <w:rPr>
          <w:noProof/>
        </w:rPr>
        <w:t xml:space="preserve">Alongside any </w:t>
      </w:r>
      <w:r w:rsidR="00A21DD7">
        <w:rPr>
          <w:noProof/>
        </w:rPr>
        <w:t>possible</w:t>
      </w:r>
      <w:r w:rsidR="00A21DD7" w:rsidRPr="00193A0D">
        <w:rPr>
          <w:noProof/>
        </w:rPr>
        <w:t xml:space="preserve"> </w:t>
      </w:r>
      <w:r w:rsidRPr="00193A0D">
        <w:rPr>
          <w:noProof/>
        </w:rPr>
        <w:t>changes to the procedural set-up</w:t>
      </w:r>
      <w:r w:rsidR="00C42FDB" w:rsidRPr="00193A0D">
        <w:rPr>
          <w:noProof/>
        </w:rPr>
        <w:t xml:space="preserve">, the Commission </w:t>
      </w:r>
      <w:r w:rsidR="00573432" w:rsidRPr="00193A0D">
        <w:rPr>
          <w:noProof/>
        </w:rPr>
        <w:t>will continue</w:t>
      </w:r>
      <w:r w:rsidR="00FA798B" w:rsidRPr="00193A0D">
        <w:rPr>
          <w:noProof/>
        </w:rPr>
        <w:t xml:space="preserve"> </w:t>
      </w:r>
      <w:r w:rsidR="005D6F62">
        <w:rPr>
          <w:noProof/>
        </w:rPr>
        <w:t xml:space="preserve">its effort </w:t>
      </w:r>
      <w:r w:rsidR="00FA798B" w:rsidRPr="00193A0D">
        <w:rPr>
          <w:noProof/>
        </w:rPr>
        <w:t xml:space="preserve">to enhance </w:t>
      </w:r>
      <w:r w:rsidR="005D6F62">
        <w:rPr>
          <w:noProof/>
        </w:rPr>
        <w:t xml:space="preserve">the </w:t>
      </w:r>
      <w:r w:rsidR="00FA798B" w:rsidRPr="00193A0D">
        <w:rPr>
          <w:noProof/>
        </w:rPr>
        <w:t xml:space="preserve">transparency </w:t>
      </w:r>
      <w:r w:rsidR="00A87FD1" w:rsidRPr="00193A0D">
        <w:rPr>
          <w:noProof/>
        </w:rPr>
        <w:t>and predictability</w:t>
      </w:r>
      <w:r w:rsidR="00A87FD1">
        <w:rPr>
          <w:noProof/>
        </w:rPr>
        <w:t xml:space="preserve"> </w:t>
      </w:r>
      <w:r w:rsidR="005D6F62">
        <w:rPr>
          <w:noProof/>
        </w:rPr>
        <w:t>of its enforcement practice</w:t>
      </w:r>
      <w:r w:rsidR="00A87FD1">
        <w:rPr>
          <w:noProof/>
        </w:rPr>
        <w:t xml:space="preserve"> </w:t>
      </w:r>
      <w:r w:rsidR="00A87FD1" w:rsidRPr="00A87FD1">
        <w:rPr>
          <w:noProof/>
        </w:rPr>
        <w:t xml:space="preserve">including outreach activities for </w:t>
      </w:r>
      <w:r w:rsidR="00624696">
        <w:rPr>
          <w:noProof/>
        </w:rPr>
        <w:t>stakeholders.</w:t>
      </w:r>
    </w:p>
    <w:p w14:paraId="6BF1B992" w14:textId="4FC9A27A" w:rsidR="00D45722" w:rsidRPr="00E6306E" w:rsidRDefault="00D45722" w:rsidP="006041B3">
      <w:pPr>
        <w:pStyle w:val="ListNumberLevel2"/>
        <w:keepNext/>
        <w:numPr>
          <w:ilvl w:val="1"/>
          <w:numId w:val="171"/>
        </w:numPr>
        <w:ind w:left="1418" w:hanging="709"/>
        <w:rPr>
          <w:noProof/>
        </w:rPr>
      </w:pPr>
      <w:r w:rsidRPr="00E6306E">
        <w:rPr>
          <w:noProof/>
        </w:rPr>
        <w:t>Uncertainty linked to possibility of call</w:t>
      </w:r>
      <w:r w:rsidR="006816AE">
        <w:rPr>
          <w:noProof/>
        </w:rPr>
        <w:t>-</w:t>
      </w:r>
      <w:r w:rsidRPr="00E6306E">
        <w:rPr>
          <w:noProof/>
        </w:rPr>
        <w:t>in and deterrent effect of wide-ranging provisions</w:t>
      </w:r>
    </w:p>
    <w:p w14:paraId="234EB171" w14:textId="6A4AD80C" w:rsidR="00B400BA" w:rsidRPr="00E6306E" w:rsidRDefault="00C21151" w:rsidP="004A1922">
      <w:pPr>
        <w:rPr>
          <w:noProof/>
        </w:rPr>
      </w:pPr>
      <w:r w:rsidRPr="00E6306E">
        <w:rPr>
          <w:noProof/>
        </w:rPr>
        <w:t xml:space="preserve">With regards to the perceived uncertainty linked to </w:t>
      </w:r>
      <w:r w:rsidR="00EA5293">
        <w:rPr>
          <w:noProof/>
        </w:rPr>
        <w:t>the Commission</w:t>
      </w:r>
      <w:r w:rsidR="00242478">
        <w:rPr>
          <w:noProof/>
        </w:rPr>
        <w:t>’</w:t>
      </w:r>
      <w:r w:rsidR="00EA5293">
        <w:rPr>
          <w:noProof/>
        </w:rPr>
        <w:t xml:space="preserve">s </w:t>
      </w:r>
      <w:r w:rsidRPr="00E6306E">
        <w:rPr>
          <w:noProof/>
        </w:rPr>
        <w:t>call</w:t>
      </w:r>
      <w:r w:rsidR="00EA5293">
        <w:rPr>
          <w:noProof/>
        </w:rPr>
        <w:t>-</w:t>
      </w:r>
      <w:r w:rsidRPr="00E6306E">
        <w:rPr>
          <w:noProof/>
        </w:rPr>
        <w:t>in</w:t>
      </w:r>
      <w:r w:rsidR="00EA5293">
        <w:rPr>
          <w:noProof/>
        </w:rPr>
        <w:t xml:space="preserve"> powers</w:t>
      </w:r>
      <w:r w:rsidRPr="00E6306E">
        <w:rPr>
          <w:noProof/>
        </w:rPr>
        <w:t xml:space="preserve"> and</w:t>
      </w:r>
      <w:r w:rsidR="00EA5293">
        <w:rPr>
          <w:noProof/>
        </w:rPr>
        <w:t xml:space="preserve"> the</w:t>
      </w:r>
      <w:r w:rsidRPr="00E6306E">
        <w:rPr>
          <w:noProof/>
        </w:rPr>
        <w:t xml:space="preserve"> potential deterrent effect </w:t>
      </w:r>
      <w:r w:rsidDel="00EA5293">
        <w:rPr>
          <w:noProof/>
        </w:rPr>
        <w:t xml:space="preserve">of </w:t>
      </w:r>
      <w:r w:rsidR="00EA5293">
        <w:rPr>
          <w:noProof/>
        </w:rPr>
        <w:t>this</w:t>
      </w:r>
      <w:r w:rsidRPr="00E6306E">
        <w:rPr>
          <w:noProof/>
        </w:rPr>
        <w:t xml:space="preserve"> provision on investment incentives </w:t>
      </w:r>
      <w:r w:rsidR="00242478">
        <w:rPr>
          <w:noProof/>
        </w:rPr>
        <w:t>in</w:t>
      </w:r>
      <w:r w:rsidRPr="00E6306E">
        <w:rPr>
          <w:noProof/>
        </w:rPr>
        <w:t xml:space="preserve">to the EU, </w:t>
      </w:r>
      <w:r w:rsidR="00AC4EDA">
        <w:rPr>
          <w:noProof/>
        </w:rPr>
        <w:t>it should be noted</w:t>
      </w:r>
      <w:r w:rsidRPr="00E6306E">
        <w:rPr>
          <w:noProof/>
        </w:rPr>
        <w:t xml:space="preserve"> that the </w:t>
      </w:r>
      <w:r w:rsidR="001418BB">
        <w:rPr>
          <w:noProof/>
        </w:rPr>
        <w:t>publication</w:t>
      </w:r>
      <w:r w:rsidR="001418BB" w:rsidRPr="00E6306E">
        <w:rPr>
          <w:noProof/>
        </w:rPr>
        <w:t xml:space="preserve"> </w:t>
      </w:r>
      <w:r w:rsidRPr="00E6306E">
        <w:rPr>
          <w:noProof/>
        </w:rPr>
        <w:t xml:space="preserve">of the </w:t>
      </w:r>
      <w:r w:rsidR="00941BE2" w:rsidRPr="00E6306E">
        <w:rPr>
          <w:noProof/>
        </w:rPr>
        <w:t xml:space="preserve">FSR </w:t>
      </w:r>
      <w:r w:rsidRPr="00E6306E">
        <w:rPr>
          <w:noProof/>
        </w:rPr>
        <w:t>Guidelines,</w:t>
      </w:r>
      <w:r w:rsidR="00B400BA" w:rsidRPr="00E6306E">
        <w:rPr>
          <w:noProof/>
        </w:rPr>
        <w:t xml:space="preserve"> combined with </w:t>
      </w:r>
      <w:r w:rsidRPr="00E6306E">
        <w:rPr>
          <w:noProof/>
        </w:rPr>
        <w:t>the evolving case practice</w:t>
      </w:r>
      <w:r w:rsidR="00013B98">
        <w:rPr>
          <w:noProof/>
        </w:rPr>
        <w:t>,</w:t>
      </w:r>
      <w:r w:rsidRPr="00E6306E">
        <w:rPr>
          <w:noProof/>
        </w:rPr>
        <w:t xml:space="preserve"> decreas</w:t>
      </w:r>
      <w:r w:rsidR="00013B98">
        <w:rPr>
          <w:noProof/>
        </w:rPr>
        <w:t>e</w:t>
      </w:r>
      <w:r w:rsidRPr="00E6306E">
        <w:rPr>
          <w:noProof/>
        </w:rPr>
        <w:t xml:space="preserve"> th</w:t>
      </w:r>
      <w:r w:rsidR="00B400BA" w:rsidRPr="00E6306E">
        <w:rPr>
          <w:noProof/>
        </w:rPr>
        <w:t>e</w:t>
      </w:r>
      <w:r w:rsidRPr="00E6306E">
        <w:rPr>
          <w:noProof/>
        </w:rPr>
        <w:t xml:space="preserve"> </w:t>
      </w:r>
      <w:r w:rsidR="00242478">
        <w:rPr>
          <w:noProof/>
        </w:rPr>
        <w:t xml:space="preserve">perceived </w:t>
      </w:r>
      <w:r w:rsidR="008D38C3">
        <w:rPr>
          <w:noProof/>
        </w:rPr>
        <w:t xml:space="preserve">uncertainty, </w:t>
      </w:r>
      <w:r w:rsidRPr="00193A0D">
        <w:rPr>
          <w:noProof/>
        </w:rPr>
        <w:t xml:space="preserve">without need for further </w:t>
      </w:r>
      <w:r w:rsidR="007A3981" w:rsidRPr="00193A0D">
        <w:rPr>
          <w:noProof/>
        </w:rPr>
        <w:t>target</w:t>
      </w:r>
      <w:r w:rsidRPr="00193A0D">
        <w:rPr>
          <w:noProof/>
        </w:rPr>
        <w:t xml:space="preserve">ed measures at this </w:t>
      </w:r>
      <w:r w:rsidR="00BA2B52" w:rsidRPr="00193A0D">
        <w:rPr>
          <w:noProof/>
        </w:rPr>
        <w:t>stage</w:t>
      </w:r>
      <w:r w:rsidRPr="00193A0D">
        <w:rPr>
          <w:noProof/>
        </w:rPr>
        <w:t>.</w:t>
      </w:r>
      <w:r w:rsidRPr="00E6306E">
        <w:rPr>
          <w:noProof/>
        </w:rPr>
        <w:t xml:space="preserve"> </w:t>
      </w:r>
    </w:p>
    <w:p w14:paraId="6026F4FA" w14:textId="01D06FD8" w:rsidR="00CB098E" w:rsidRDefault="005E1BB9" w:rsidP="0088345F">
      <w:pPr>
        <w:pStyle w:val="Heading2"/>
        <w:rPr>
          <w:noProof/>
        </w:rPr>
      </w:pPr>
      <w:bookmarkStart w:id="165" w:name="_Toc234227890"/>
      <w:r>
        <w:rPr>
          <w:noProof/>
        </w:rPr>
        <w:t>In relation to notifications in p</w:t>
      </w:r>
      <w:r w:rsidR="00804401">
        <w:rPr>
          <w:noProof/>
        </w:rPr>
        <w:t xml:space="preserve">ublic </w:t>
      </w:r>
      <w:r>
        <w:rPr>
          <w:noProof/>
        </w:rPr>
        <w:t>p</w:t>
      </w:r>
      <w:r w:rsidR="00804401">
        <w:rPr>
          <w:noProof/>
        </w:rPr>
        <w:t xml:space="preserve">rocurement </w:t>
      </w:r>
      <w:r>
        <w:rPr>
          <w:noProof/>
        </w:rPr>
        <w:t>p</w:t>
      </w:r>
      <w:r w:rsidR="00804401">
        <w:rPr>
          <w:noProof/>
        </w:rPr>
        <w:t>rocedures</w:t>
      </w:r>
      <w:bookmarkEnd w:id="165"/>
    </w:p>
    <w:p w14:paraId="048F63CC" w14:textId="6C2E8EDA" w:rsidR="00E8597F" w:rsidRDefault="00E8597F" w:rsidP="00804401">
      <w:pPr>
        <w:pStyle w:val="Text2"/>
        <w:ind w:left="0"/>
        <w:rPr>
          <w:noProof/>
          <w:lang w:val="en-US"/>
        </w:rPr>
      </w:pPr>
      <w:r w:rsidRPr="000549D1" w:rsidDel="00167F6A">
        <w:rPr>
          <w:noProof/>
          <w:lang w:val="en-US"/>
        </w:rPr>
        <w:t>As confirmed by</w:t>
      </w:r>
      <w:r w:rsidRPr="000549D1">
        <w:rPr>
          <w:noProof/>
          <w:lang w:val="en-US"/>
        </w:rPr>
        <w:t xml:space="preserve"> the review</w:t>
      </w:r>
      <w:r w:rsidRPr="00E8597F">
        <w:rPr>
          <w:noProof/>
          <w:lang w:val="en-US"/>
        </w:rPr>
        <w:t>, the</w:t>
      </w:r>
      <w:r>
        <w:rPr>
          <w:noProof/>
          <w:lang w:val="en-US"/>
        </w:rPr>
        <w:t xml:space="preserve"> </w:t>
      </w:r>
      <w:r w:rsidRPr="00D30D8D">
        <w:rPr>
          <w:noProof/>
          <w:lang w:val="en-US"/>
        </w:rPr>
        <w:t>ex ante</w:t>
      </w:r>
      <w:r>
        <w:rPr>
          <w:noProof/>
          <w:lang w:val="en-US"/>
        </w:rPr>
        <w:t xml:space="preserve"> notification procedure for public procurement is an important component of the FSR framework, enabling the Commission to identify and address potentially distortive foreign subsidies in high-value public procurement procedures. </w:t>
      </w:r>
    </w:p>
    <w:p w14:paraId="5261010E" w14:textId="34F2889E" w:rsidR="00E8597F" w:rsidRDefault="00E8597F" w:rsidP="00804401">
      <w:pPr>
        <w:pStyle w:val="Text2"/>
        <w:ind w:left="0"/>
        <w:rPr>
          <w:noProof/>
          <w:lang w:val="en-US"/>
        </w:rPr>
      </w:pPr>
      <w:r>
        <w:rPr>
          <w:noProof/>
          <w:lang w:val="en-US"/>
        </w:rPr>
        <w:t xml:space="preserve">At the same time, a large </w:t>
      </w:r>
      <w:r w:rsidR="005F26D6">
        <w:rPr>
          <w:noProof/>
          <w:lang w:val="en-US"/>
        </w:rPr>
        <w:t>proportion</w:t>
      </w:r>
      <w:r>
        <w:rPr>
          <w:noProof/>
          <w:lang w:val="en-US"/>
        </w:rPr>
        <w:t xml:space="preserve"> of </w:t>
      </w:r>
      <w:r w:rsidR="00811CD4">
        <w:rPr>
          <w:noProof/>
          <w:lang w:val="en-US"/>
        </w:rPr>
        <w:t>s</w:t>
      </w:r>
      <w:r>
        <w:rPr>
          <w:noProof/>
          <w:lang w:val="en-US"/>
        </w:rPr>
        <w:t>takeholder</w:t>
      </w:r>
      <w:r w:rsidR="00811CD4">
        <w:rPr>
          <w:noProof/>
          <w:lang w:val="en-US"/>
        </w:rPr>
        <w:t>s’ feedback focused on the</w:t>
      </w:r>
      <w:r w:rsidRPr="00E8597F">
        <w:rPr>
          <w:noProof/>
          <w:lang w:val="en-US"/>
        </w:rPr>
        <w:t xml:space="preserve"> administrative burden </w:t>
      </w:r>
      <w:r w:rsidR="005F26D6">
        <w:rPr>
          <w:noProof/>
          <w:lang w:val="en-US"/>
        </w:rPr>
        <w:t>associated with the</w:t>
      </w:r>
      <w:r w:rsidRPr="00E8597F">
        <w:rPr>
          <w:noProof/>
          <w:lang w:val="en-US"/>
        </w:rPr>
        <w:t xml:space="preserve"> FSR filing requirements in </w:t>
      </w:r>
      <w:r w:rsidR="00811CD4">
        <w:rPr>
          <w:noProof/>
          <w:lang w:val="en-US"/>
        </w:rPr>
        <w:t xml:space="preserve">the context of </w:t>
      </w:r>
      <w:r w:rsidRPr="00E8597F">
        <w:rPr>
          <w:noProof/>
          <w:lang w:val="en-US"/>
        </w:rPr>
        <w:t xml:space="preserve">public procurement procedures. </w:t>
      </w:r>
    </w:p>
    <w:p w14:paraId="3D3A8C4D" w14:textId="52785F37" w:rsidR="005F26D6" w:rsidRDefault="00E8597F" w:rsidP="005F26D6">
      <w:pPr>
        <w:pStyle w:val="Text2"/>
        <w:ind w:left="0"/>
        <w:rPr>
          <w:noProof/>
          <w:lang w:val="en-US"/>
        </w:rPr>
      </w:pPr>
      <w:r>
        <w:rPr>
          <w:noProof/>
          <w:lang w:val="en-US"/>
        </w:rPr>
        <w:t xml:space="preserve">The Commission </w:t>
      </w:r>
      <w:r w:rsidR="00FA798B">
        <w:rPr>
          <w:noProof/>
          <w:lang w:val="en-US"/>
        </w:rPr>
        <w:t xml:space="preserve">services </w:t>
      </w:r>
      <w:r w:rsidR="00811CD4">
        <w:rPr>
          <w:noProof/>
          <w:lang w:val="en-US"/>
        </w:rPr>
        <w:t>ha</w:t>
      </w:r>
      <w:r w:rsidR="00FA798B">
        <w:rPr>
          <w:noProof/>
          <w:lang w:val="en-US"/>
        </w:rPr>
        <w:t>ve</w:t>
      </w:r>
      <w:r w:rsidR="00811CD4">
        <w:rPr>
          <w:noProof/>
          <w:lang w:val="en-US"/>
        </w:rPr>
        <w:t xml:space="preserve"> </w:t>
      </w:r>
      <w:r>
        <w:rPr>
          <w:noProof/>
          <w:lang w:val="en-US"/>
        </w:rPr>
        <w:t xml:space="preserve">also </w:t>
      </w:r>
      <w:r w:rsidR="00811CD4">
        <w:rPr>
          <w:noProof/>
          <w:lang w:val="en-US"/>
        </w:rPr>
        <w:t xml:space="preserve">carefully </w:t>
      </w:r>
      <w:r>
        <w:rPr>
          <w:noProof/>
          <w:lang w:val="en-US"/>
        </w:rPr>
        <w:t>reviewed its enforcement practice</w:t>
      </w:r>
      <w:r w:rsidR="005F26D6">
        <w:rPr>
          <w:noProof/>
          <w:lang w:val="en-US"/>
        </w:rPr>
        <w:t>,</w:t>
      </w:r>
      <w:r>
        <w:rPr>
          <w:noProof/>
          <w:lang w:val="en-US"/>
        </w:rPr>
        <w:t xml:space="preserve"> </w:t>
      </w:r>
      <w:r w:rsidR="00811CD4">
        <w:rPr>
          <w:noProof/>
          <w:lang w:val="en-US"/>
        </w:rPr>
        <w:t>with a view to identifying</w:t>
      </w:r>
      <w:r>
        <w:rPr>
          <w:noProof/>
          <w:lang w:val="en-US"/>
        </w:rPr>
        <w:t xml:space="preserve"> possible actions to simplify the </w:t>
      </w:r>
      <w:r w:rsidR="00811CD4">
        <w:rPr>
          <w:noProof/>
          <w:lang w:val="en-US"/>
        </w:rPr>
        <w:t>reporting</w:t>
      </w:r>
      <w:r>
        <w:rPr>
          <w:noProof/>
          <w:lang w:val="en-US"/>
        </w:rPr>
        <w:t xml:space="preserve"> of FFCs,</w:t>
      </w:r>
      <w:r w:rsidR="005F26D6">
        <w:rPr>
          <w:noProof/>
          <w:lang w:val="en-US"/>
        </w:rPr>
        <w:t xml:space="preserve"> while </w:t>
      </w:r>
      <w:r w:rsidR="00811CD4" w:rsidRPr="00811CD4">
        <w:rPr>
          <w:noProof/>
        </w:rPr>
        <w:t xml:space="preserve">preserving the ability to carry out a meaningful assessment of those contributions and safeguarding the effectiveness of the FSR public procurement </w:t>
      </w:r>
      <w:r w:rsidR="00FA798B">
        <w:rPr>
          <w:noProof/>
        </w:rPr>
        <w:t>procedure</w:t>
      </w:r>
      <w:r w:rsidR="00811CD4" w:rsidRPr="00811CD4">
        <w:rPr>
          <w:noProof/>
        </w:rPr>
        <w:t>.</w:t>
      </w:r>
    </w:p>
    <w:p w14:paraId="27E17959" w14:textId="5CBA3D82" w:rsidR="005F26D6" w:rsidRDefault="005F26D6" w:rsidP="005F26D6">
      <w:pPr>
        <w:rPr>
          <w:noProof/>
          <w:lang w:val="en-IE"/>
        </w:rPr>
      </w:pPr>
      <w:r>
        <w:rPr>
          <w:noProof/>
          <w:lang w:val="en-IE"/>
        </w:rPr>
        <w:t xml:space="preserve">As </w:t>
      </w:r>
      <w:r w:rsidR="007B0209">
        <w:rPr>
          <w:noProof/>
          <w:lang w:val="en-IE"/>
        </w:rPr>
        <w:t>set out</w:t>
      </w:r>
      <w:r>
        <w:rPr>
          <w:noProof/>
          <w:lang w:val="en-IE"/>
        </w:rPr>
        <w:t xml:space="preserve"> in Section</w:t>
      </w:r>
      <w:r w:rsidR="008217D4">
        <w:rPr>
          <w:noProof/>
          <w:lang w:val="en-IE"/>
        </w:rPr>
        <w:t xml:space="preserve"> </w:t>
      </w:r>
      <w:r w:rsidR="008217D4">
        <w:rPr>
          <w:noProof/>
          <w:lang w:val="en-IE"/>
        </w:rPr>
        <w:fldChar w:fldCharType="begin"/>
      </w:r>
      <w:r w:rsidR="008217D4">
        <w:rPr>
          <w:noProof/>
          <w:lang w:val="en-IE"/>
        </w:rPr>
        <w:instrText xml:space="preserve"> REF _Ref233984266 \r \h </w:instrText>
      </w:r>
      <w:r w:rsidR="008217D4">
        <w:rPr>
          <w:noProof/>
          <w:lang w:val="en-IE"/>
        </w:rPr>
      </w:r>
      <w:r w:rsidR="008217D4">
        <w:rPr>
          <w:noProof/>
          <w:lang w:val="en-IE"/>
        </w:rPr>
        <w:fldChar w:fldCharType="separate"/>
      </w:r>
      <w:r w:rsidR="00227418">
        <w:rPr>
          <w:noProof/>
          <w:lang w:val="en-IE"/>
        </w:rPr>
        <w:t>5.2.4.5</w:t>
      </w:r>
      <w:r w:rsidR="008217D4">
        <w:rPr>
          <w:noProof/>
          <w:lang w:val="en-IE"/>
        </w:rPr>
        <w:fldChar w:fldCharType="end"/>
      </w:r>
      <w:r>
        <w:rPr>
          <w:noProof/>
          <w:lang w:val="en-IE"/>
        </w:rPr>
        <w:t>, stakeholders have raised concerns related to (a)</w:t>
      </w:r>
      <w:r w:rsidR="00FA798B">
        <w:rPr>
          <w:noProof/>
          <w:lang w:val="en-IE"/>
        </w:rPr>
        <w:t> </w:t>
      </w:r>
      <w:r>
        <w:rPr>
          <w:noProof/>
          <w:lang w:val="en-IE"/>
        </w:rPr>
        <w:t xml:space="preserve">the perceived burden associated with the </w:t>
      </w:r>
      <w:r w:rsidRPr="00817A12">
        <w:rPr>
          <w:noProof/>
          <w:lang w:val="en-IE"/>
        </w:rPr>
        <w:t>identification, collection and reporting of FFC</w:t>
      </w:r>
      <w:r w:rsidR="00811CD4">
        <w:rPr>
          <w:noProof/>
          <w:lang w:val="en-IE"/>
        </w:rPr>
        <w:t>s</w:t>
      </w:r>
      <w:r>
        <w:rPr>
          <w:noProof/>
          <w:lang w:val="en-IE"/>
        </w:rPr>
        <w:t xml:space="preserve"> and the </w:t>
      </w:r>
      <w:r w:rsidRPr="00DC2EFB">
        <w:rPr>
          <w:noProof/>
          <w:lang w:val="en-IE"/>
        </w:rPr>
        <w:t xml:space="preserve">scope of information required by </w:t>
      </w:r>
      <w:r>
        <w:rPr>
          <w:noProof/>
          <w:lang w:val="en-IE"/>
        </w:rPr>
        <w:t>Form FS-PP; and (b)</w:t>
      </w:r>
      <w:r w:rsidR="00FA798B">
        <w:rPr>
          <w:noProof/>
          <w:lang w:val="en-IE"/>
        </w:rPr>
        <w:t> </w:t>
      </w:r>
      <w:r>
        <w:rPr>
          <w:noProof/>
          <w:lang w:val="en-IE"/>
        </w:rPr>
        <w:t xml:space="preserve">the perceived lack of awareness </w:t>
      </w:r>
      <w:r w:rsidR="007B0CEC">
        <w:rPr>
          <w:noProof/>
          <w:lang w:val="en-IE"/>
        </w:rPr>
        <w:t>and clarity</w:t>
      </w:r>
      <w:r>
        <w:rPr>
          <w:noProof/>
          <w:lang w:val="en-IE"/>
        </w:rPr>
        <w:t xml:space="preserve"> concerning FSR obligations</w:t>
      </w:r>
      <w:r w:rsidR="00811CD4">
        <w:rPr>
          <w:noProof/>
          <w:lang w:val="en-IE"/>
        </w:rPr>
        <w:t>,</w:t>
      </w:r>
      <w:r>
        <w:rPr>
          <w:noProof/>
          <w:lang w:val="en-IE"/>
        </w:rPr>
        <w:t xml:space="preserve"> together with the need for greater transparency in </w:t>
      </w:r>
      <w:r w:rsidR="00B75772">
        <w:rPr>
          <w:noProof/>
          <w:lang w:val="en-IE"/>
        </w:rPr>
        <w:t xml:space="preserve">the </w:t>
      </w:r>
      <w:r>
        <w:rPr>
          <w:noProof/>
          <w:lang w:val="en-IE"/>
        </w:rPr>
        <w:t>enforcement practice.</w:t>
      </w:r>
    </w:p>
    <w:p w14:paraId="105926AD" w14:textId="789388FE" w:rsidR="00811CD4" w:rsidRDefault="00811CD4" w:rsidP="006041B3">
      <w:pPr>
        <w:pStyle w:val="ListParagraph"/>
        <w:keepNext/>
        <w:numPr>
          <w:ilvl w:val="0"/>
          <w:numId w:val="245"/>
        </w:numPr>
        <w:ind w:left="714" w:hanging="357"/>
        <w:rPr>
          <w:noProof/>
          <w:lang w:val="en-IE"/>
        </w:rPr>
      </w:pPr>
      <w:r w:rsidRPr="00811CD4">
        <w:rPr>
          <w:noProof/>
          <w:lang w:val="en-IE"/>
        </w:rPr>
        <w:t>Perceived burden associated with the identification, collection, reporting of FFCs and with the scope of information required</w:t>
      </w:r>
    </w:p>
    <w:p w14:paraId="275BC34E" w14:textId="37F18B54" w:rsidR="00F523E9" w:rsidRPr="00A87FD1" w:rsidRDefault="00F523E9" w:rsidP="000549D1">
      <w:pPr>
        <w:rPr>
          <w:noProof/>
          <w:lang w:eastAsia="en-IE"/>
        </w:rPr>
      </w:pPr>
      <w:r w:rsidRPr="00A87FD1">
        <w:rPr>
          <w:noProof/>
          <w:lang w:eastAsia="en-IE"/>
        </w:rPr>
        <w:t xml:space="preserve">To address these concerns, the Commission may consider </w:t>
      </w:r>
      <w:r w:rsidR="00A87FD1" w:rsidRPr="00A87FD1">
        <w:rPr>
          <w:noProof/>
          <w:lang w:eastAsia="en-IE"/>
        </w:rPr>
        <w:t xml:space="preserve">possible </w:t>
      </w:r>
      <w:r w:rsidRPr="00A87FD1">
        <w:rPr>
          <w:noProof/>
          <w:lang w:eastAsia="en-IE"/>
        </w:rPr>
        <w:t xml:space="preserve">adjustments </w:t>
      </w:r>
      <w:r w:rsidR="00870EF3">
        <w:rPr>
          <w:noProof/>
          <w:lang w:eastAsia="en-IE"/>
        </w:rPr>
        <w:t>to the FSR procedural framework</w:t>
      </w:r>
      <w:r w:rsidR="00F1574F">
        <w:rPr>
          <w:noProof/>
          <w:lang w:eastAsia="en-IE"/>
        </w:rPr>
        <w:t xml:space="preserve"> informed by implementation experience and stakeholder feedback</w:t>
      </w:r>
      <w:r w:rsidRPr="00A87FD1">
        <w:rPr>
          <w:noProof/>
          <w:lang w:eastAsia="en-IE"/>
        </w:rPr>
        <w:t xml:space="preserve">. </w:t>
      </w:r>
      <w:r w:rsidR="004438FE">
        <w:rPr>
          <w:noProof/>
          <w:lang w:eastAsia="en-IE"/>
        </w:rPr>
        <w:t>Such</w:t>
      </w:r>
      <w:r w:rsidR="004438FE" w:rsidRPr="00A87FD1">
        <w:rPr>
          <w:noProof/>
          <w:lang w:eastAsia="en-IE"/>
        </w:rPr>
        <w:t xml:space="preserve"> </w:t>
      </w:r>
      <w:r w:rsidR="005453DA" w:rsidRPr="00A87FD1">
        <w:rPr>
          <w:noProof/>
          <w:lang w:eastAsia="en-IE"/>
        </w:rPr>
        <w:t>adjustments</w:t>
      </w:r>
      <w:r w:rsidRPr="00A87FD1">
        <w:rPr>
          <w:noProof/>
          <w:lang w:eastAsia="en-IE"/>
        </w:rPr>
        <w:t xml:space="preserve"> could help focus scrutiny on cases that are most likely to involve distortive foreign subsidies, while alleviating burdens in less critical situations.</w:t>
      </w:r>
    </w:p>
    <w:p w14:paraId="25D2405B" w14:textId="778357A4" w:rsidR="005F26D6" w:rsidRPr="000549D1" w:rsidRDefault="00E71736" w:rsidP="006041B3">
      <w:pPr>
        <w:pStyle w:val="ListParagraph"/>
        <w:keepNext/>
        <w:numPr>
          <w:ilvl w:val="0"/>
          <w:numId w:val="245"/>
        </w:numPr>
        <w:ind w:left="714" w:hanging="357"/>
        <w:rPr>
          <w:noProof/>
          <w:lang w:val="en-IE"/>
        </w:rPr>
      </w:pPr>
      <w:r>
        <w:rPr>
          <w:noProof/>
          <w:lang w:val="en-IE"/>
        </w:rPr>
        <w:t>Perceived lack of a</w:t>
      </w:r>
      <w:r w:rsidR="00811CD4">
        <w:rPr>
          <w:noProof/>
          <w:lang w:val="en-IE"/>
        </w:rPr>
        <w:t>wareness, clarity and transparency</w:t>
      </w:r>
    </w:p>
    <w:p w14:paraId="0896E3CB" w14:textId="57584EE2" w:rsidR="00C66A10" w:rsidRPr="00C66A10" w:rsidRDefault="009337D3" w:rsidP="00BA171F">
      <w:pPr>
        <w:rPr>
          <w:noProof/>
        </w:rPr>
      </w:pPr>
      <w:bookmarkStart w:id="166" w:name="_Hlk234225498"/>
      <w:r w:rsidRPr="006275D0">
        <w:rPr>
          <w:noProof/>
        </w:rPr>
        <w:t>Alongside any possible amendments to the procedural framework, efforts</w:t>
      </w:r>
      <w:r w:rsidR="0032405F">
        <w:rPr>
          <w:noProof/>
        </w:rPr>
        <w:t xml:space="preserve"> </w:t>
      </w:r>
      <w:r w:rsidR="00846A2B">
        <w:rPr>
          <w:noProof/>
        </w:rPr>
        <w:t>are</w:t>
      </w:r>
      <w:r w:rsidR="0032405F">
        <w:rPr>
          <w:noProof/>
        </w:rPr>
        <w:t xml:space="preserve"> continued</w:t>
      </w:r>
      <w:r w:rsidRPr="006275D0">
        <w:rPr>
          <w:noProof/>
        </w:rPr>
        <w:t xml:space="preserve"> </w:t>
      </w:r>
      <w:r>
        <w:rPr>
          <w:noProof/>
        </w:rPr>
        <w:t>to enhance</w:t>
      </w:r>
      <w:r w:rsidRPr="006275D0">
        <w:rPr>
          <w:noProof/>
        </w:rPr>
        <w:t xml:space="preserve"> </w:t>
      </w:r>
      <w:r>
        <w:rPr>
          <w:noProof/>
        </w:rPr>
        <w:t xml:space="preserve">the </w:t>
      </w:r>
      <w:r w:rsidRPr="006275D0">
        <w:rPr>
          <w:noProof/>
        </w:rPr>
        <w:t xml:space="preserve">transparency of </w:t>
      </w:r>
      <w:r w:rsidR="00846A2B">
        <w:rPr>
          <w:noProof/>
        </w:rPr>
        <w:t>the</w:t>
      </w:r>
      <w:r w:rsidR="00846A2B" w:rsidRPr="006275D0">
        <w:rPr>
          <w:noProof/>
        </w:rPr>
        <w:t xml:space="preserve"> </w:t>
      </w:r>
      <w:r w:rsidRPr="006275D0">
        <w:rPr>
          <w:noProof/>
        </w:rPr>
        <w:t xml:space="preserve">enforcement </w:t>
      </w:r>
      <w:r>
        <w:rPr>
          <w:noProof/>
        </w:rPr>
        <w:t xml:space="preserve">practice. </w:t>
      </w:r>
      <w:r w:rsidR="00846A2B">
        <w:rPr>
          <w:noProof/>
        </w:rPr>
        <w:t>S</w:t>
      </w:r>
      <w:r w:rsidR="009D0B74">
        <w:rPr>
          <w:noProof/>
          <w:szCs w:val="24"/>
        </w:rPr>
        <w:t xml:space="preserve">trengthening </w:t>
      </w:r>
      <w:r w:rsidR="00C66A10">
        <w:rPr>
          <w:noProof/>
          <w:szCs w:val="24"/>
        </w:rPr>
        <w:t>awareness and capacity-building</w:t>
      </w:r>
      <w:r w:rsidR="0061769C">
        <w:rPr>
          <w:noProof/>
          <w:szCs w:val="24"/>
        </w:rPr>
        <w:t xml:space="preserve"> also continue,</w:t>
      </w:r>
      <w:r>
        <w:rPr>
          <w:noProof/>
          <w:szCs w:val="24"/>
        </w:rPr>
        <w:t xml:space="preserve"> including through </w:t>
      </w:r>
      <w:r w:rsidR="00C66A10">
        <w:rPr>
          <w:noProof/>
        </w:rPr>
        <w:t xml:space="preserve">outreach activities </w:t>
      </w:r>
      <w:r>
        <w:rPr>
          <w:noProof/>
        </w:rPr>
        <w:t>for</w:t>
      </w:r>
      <w:r w:rsidR="00C66A10">
        <w:rPr>
          <w:noProof/>
        </w:rPr>
        <w:t xml:space="preserve"> contracting authorities, economic operators and practitioners.</w:t>
      </w:r>
      <w:r w:rsidR="005B2FF5">
        <w:rPr>
          <w:noProof/>
        </w:rPr>
        <w:t xml:space="preserve"> </w:t>
      </w:r>
      <w:r w:rsidR="00C66A10" w:rsidRPr="00BA171F">
        <w:rPr>
          <w:noProof/>
          <w:szCs w:val="24"/>
        </w:rPr>
        <w:t xml:space="preserve">In parallel, </w:t>
      </w:r>
      <w:r w:rsidR="0032405F">
        <w:rPr>
          <w:noProof/>
          <w:szCs w:val="24"/>
        </w:rPr>
        <w:t>the</w:t>
      </w:r>
      <w:r w:rsidR="00C66A10" w:rsidRPr="00BA171F">
        <w:rPr>
          <w:noProof/>
          <w:szCs w:val="24"/>
        </w:rPr>
        <w:t xml:space="preserve"> dialogue with Member States</w:t>
      </w:r>
      <w:r w:rsidR="0032405F">
        <w:rPr>
          <w:noProof/>
          <w:szCs w:val="24"/>
        </w:rPr>
        <w:t xml:space="preserve"> </w:t>
      </w:r>
      <w:r w:rsidR="00846A2B">
        <w:rPr>
          <w:noProof/>
          <w:szCs w:val="24"/>
        </w:rPr>
        <w:t>is further</w:t>
      </w:r>
      <w:r w:rsidR="0032405F">
        <w:rPr>
          <w:noProof/>
          <w:szCs w:val="24"/>
        </w:rPr>
        <w:t xml:space="preserve"> deepened</w:t>
      </w:r>
      <w:r w:rsidR="00C66A10" w:rsidRPr="00BA171F">
        <w:rPr>
          <w:noProof/>
          <w:szCs w:val="24"/>
        </w:rPr>
        <w:t xml:space="preserve"> through regular exchanges with the </w:t>
      </w:r>
      <w:r w:rsidR="00C66A10">
        <w:rPr>
          <w:noProof/>
          <w:szCs w:val="24"/>
        </w:rPr>
        <w:t>NCPs</w:t>
      </w:r>
      <w:r w:rsidR="00C66A10" w:rsidRPr="00BA171F">
        <w:rPr>
          <w:noProof/>
          <w:szCs w:val="24"/>
        </w:rPr>
        <w:t xml:space="preserve"> and the dedicated FSR Public Procurement Expert Group, with the aim of ensuring a consistent understanding of FSR obligations across the Union.</w:t>
      </w:r>
      <w:r w:rsidR="00C66A10" w:rsidRPr="00BA171F">
        <w:rPr>
          <w:noProof/>
        </w:rPr>
        <w:t xml:space="preserve"> </w:t>
      </w:r>
    </w:p>
    <w:bookmarkEnd w:id="166"/>
    <w:p w14:paraId="56DC5E79" w14:textId="202BF72D" w:rsidR="00804401" w:rsidRDefault="00BA171F" w:rsidP="00A3172D">
      <w:pPr>
        <w:rPr>
          <w:noProof/>
        </w:rPr>
      </w:pPr>
      <w:r w:rsidRPr="00BA171F">
        <w:rPr>
          <w:noProof/>
          <w:szCs w:val="24"/>
        </w:rPr>
        <w:t xml:space="preserve">Overall, these </w:t>
      </w:r>
      <w:r>
        <w:rPr>
          <w:noProof/>
          <w:szCs w:val="24"/>
        </w:rPr>
        <w:t>initiatives</w:t>
      </w:r>
      <w:r w:rsidRPr="00BA171F">
        <w:rPr>
          <w:noProof/>
          <w:szCs w:val="24"/>
        </w:rPr>
        <w:t xml:space="preserve"> aim to bridge the gap between the regulatory framework and its practical implementation, </w:t>
      </w:r>
      <w:r>
        <w:rPr>
          <w:noProof/>
          <w:szCs w:val="24"/>
        </w:rPr>
        <w:t>ultimately ensuring higher compliance and greater legal certainty.</w:t>
      </w:r>
    </w:p>
    <w:p w14:paraId="7EDD76A4" w14:textId="52D99E62" w:rsidR="008C7584" w:rsidRPr="003476BC" w:rsidRDefault="008C7584" w:rsidP="0088345F">
      <w:pPr>
        <w:pStyle w:val="Heading1"/>
        <w:rPr>
          <w:noProof/>
        </w:rPr>
      </w:pPr>
      <w:bookmarkStart w:id="167" w:name="_Toc234227891"/>
      <w:r w:rsidRPr="008D7722">
        <w:rPr>
          <w:noProof/>
        </w:rPr>
        <w:t>CONCLUSION</w:t>
      </w:r>
      <w:bookmarkEnd w:id="167"/>
      <w:r w:rsidR="001E2B38" w:rsidRPr="008D7722">
        <w:rPr>
          <w:noProof/>
        </w:rPr>
        <w:t xml:space="preserve"> </w:t>
      </w:r>
    </w:p>
    <w:p w14:paraId="286315E3" w14:textId="77777777" w:rsidR="00D30D8D" w:rsidRDefault="00D30D8D" w:rsidP="00D30D8D">
      <w:pPr>
        <w:rPr>
          <w:noProof/>
          <w:lang w:val="en-IE"/>
        </w:rPr>
      </w:pPr>
      <w:r>
        <w:rPr>
          <w:noProof/>
        </w:rPr>
        <w:t>The FSR</w:t>
      </w:r>
      <w:r w:rsidRPr="00531FEB">
        <w:rPr>
          <w:noProof/>
        </w:rPr>
        <w:t xml:space="preserve"> </w:t>
      </w:r>
      <w:r>
        <w:rPr>
          <w:noProof/>
        </w:rPr>
        <w:t>plays a fundamental and key role in the Union’s efforts to address distortions in the internal market caused by foreign subsidies. T</w:t>
      </w:r>
      <w:r w:rsidRPr="009B4357">
        <w:rPr>
          <w:noProof/>
        </w:rPr>
        <w:t>he overall objective of the FSR</w:t>
      </w:r>
      <w:r>
        <w:rPr>
          <w:noProof/>
        </w:rPr>
        <w:t xml:space="preserve">, which is </w:t>
      </w:r>
      <w:r w:rsidRPr="009B4357">
        <w:rPr>
          <w:noProof/>
        </w:rPr>
        <w:t>to prevent distortions in the internal market caused by foreign subsidies</w:t>
      </w:r>
      <w:r>
        <w:rPr>
          <w:noProof/>
        </w:rPr>
        <w:t>, is</w:t>
      </w:r>
      <w:r w:rsidRPr="009B4357">
        <w:rPr>
          <w:noProof/>
        </w:rPr>
        <w:t xml:space="preserve"> widely acknowledged and</w:t>
      </w:r>
      <w:r>
        <w:rPr>
          <w:noProof/>
        </w:rPr>
        <w:t xml:space="preserve"> remains very</w:t>
      </w:r>
      <w:r w:rsidRPr="009B4357">
        <w:rPr>
          <w:noProof/>
        </w:rPr>
        <w:t xml:space="preserve"> relevant. The </w:t>
      </w:r>
      <w:r>
        <w:rPr>
          <w:noProof/>
        </w:rPr>
        <w:t>findings of the review h</w:t>
      </w:r>
      <w:r w:rsidRPr="009B4357">
        <w:rPr>
          <w:noProof/>
        </w:rPr>
        <w:t xml:space="preserve">ighlight the importance of </w:t>
      </w:r>
      <w:r>
        <w:rPr>
          <w:noProof/>
        </w:rPr>
        <w:t>the FSR</w:t>
      </w:r>
      <w:r>
        <w:rPr>
          <w:noProof/>
          <w:lang w:val="en-IE"/>
        </w:rPr>
        <w:t xml:space="preserve"> and confirm that the Regulation has been successful in </w:t>
      </w:r>
      <w:r w:rsidRPr="00E6306E">
        <w:rPr>
          <w:noProof/>
          <w:lang w:val="en-IE"/>
        </w:rPr>
        <w:t>captur</w:t>
      </w:r>
      <w:r>
        <w:rPr>
          <w:noProof/>
          <w:lang w:val="en-IE"/>
        </w:rPr>
        <w:t>ing</w:t>
      </w:r>
      <w:r w:rsidRPr="00E6306E">
        <w:rPr>
          <w:noProof/>
          <w:lang w:val="en-IE"/>
        </w:rPr>
        <w:t xml:space="preserve"> high-risk </w:t>
      </w:r>
      <w:r>
        <w:rPr>
          <w:noProof/>
          <w:lang w:val="en-IE"/>
        </w:rPr>
        <w:t>concentrations and public procurements</w:t>
      </w:r>
      <w:r w:rsidRPr="009B4357">
        <w:rPr>
          <w:noProof/>
          <w:lang w:val="en-IE"/>
        </w:rPr>
        <w:t xml:space="preserve">, as demonstrated by </w:t>
      </w:r>
      <w:r>
        <w:rPr>
          <w:noProof/>
          <w:lang w:val="en-IE"/>
        </w:rPr>
        <w:t>the</w:t>
      </w:r>
      <w:r w:rsidRPr="009B4357">
        <w:rPr>
          <w:noProof/>
          <w:lang w:val="en-IE"/>
        </w:rPr>
        <w:t xml:space="preserve"> Commission’s case practice and the adopted final decisions with commitments under Chapter</w:t>
      </w:r>
      <w:r>
        <w:rPr>
          <w:noProof/>
          <w:lang w:val="en-IE"/>
        </w:rPr>
        <w:t>s </w:t>
      </w:r>
      <w:r w:rsidRPr="009B4357">
        <w:rPr>
          <w:noProof/>
          <w:lang w:val="en-IE"/>
        </w:rPr>
        <w:t xml:space="preserve">3 </w:t>
      </w:r>
      <w:r w:rsidRPr="003476BC">
        <w:rPr>
          <w:noProof/>
          <w:lang w:val="en-IE"/>
        </w:rPr>
        <w:t>and 4</w:t>
      </w:r>
      <w:r w:rsidRPr="009B4357">
        <w:rPr>
          <w:noProof/>
          <w:lang w:val="en-IE"/>
        </w:rPr>
        <w:t xml:space="preserve"> FSR</w:t>
      </w:r>
      <w:r>
        <w:rPr>
          <w:noProof/>
          <w:lang w:val="en-IE"/>
        </w:rPr>
        <w:t xml:space="preserve"> as well as its </w:t>
      </w:r>
      <w:r w:rsidRPr="009B4357">
        <w:rPr>
          <w:noProof/>
          <w:lang w:val="en-IE"/>
        </w:rPr>
        <w:t>on</w:t>
      </w:r>
      <w:r>
        <w:rPr>
          <w:noProof/>
          <w:lang w:val="en-IE"/>
        </w:rPr>
        <w:t>going, at time of publication,</w:t>
      </w:r>
      <w:r w:rsidRPr="009B4357">
        <w:rPr>
          <w:noProof/>
          <w:lang w:val="en-IE"/>
        </w:rPr>
        <w:t xml:space="preserve"> investigations under the ex officio procedure.</w:t>
      </w:r>
      <w:r>
        <w:rPr>
          <w:noProof/>
          <w:lang w:val="en-IE"/>
        </w:rPr>
        <w:t xml:space="preserve"> </w:t>
      </w:r>
    </w:p>
    <w:p w14:paraId="74CD629F" w14:textId="75EE2043" w:rsidR="00D30D8D" w:rsidRPr="009B4357" w:rsidRDefault="00D30D8D" w:rsidP="00D30D8D">
      <w:pPr>
        <w:rPr>
          <w:noProof/>
          <w:lang w:val="en-IE"/>
        </w:rPr>
      </w:pPr>
      <w:r>
        <w:rPr>
          <w:noProof/>
        </w:rPr>
        <w:t xml:space="preserve">In light of the stakeholders’ feedback, the Commission </w:t>
      </w:r>
      <w:r w:rsidR="00C67E1D">
        <w:rPr>
          <w:noProof/>
        </w:rPr>
        <w:t xml:space="preserve">may </w:t>
      </w:r>
      <w:r>
        <w:rPr>
          <w:noProof/>
        </w:rPr>
        <w:t xml:space="preserve">consider </w:t>
      </w:r>
      <w:r w:rsidR="008B165C">
        <w:rPr>
          <w:noProof/>
        </w:rPr>
        <w:t xml:space="preserve">possible </w:t>
      </w:r>
      <w:r>
        <w:rPr>
          <w:noProof/>
        </w:rPr>
        <w:t xml:space="preserve">adjustments to the FSR </w:t>
      </w:r>
      <w:r w:rsidR="00736EDE">
        <w:rPr>
          <w:noProof/>
        </w:rPr>
        <w:t xml:space="preserve">procedural set up to </w:t>
      </w:r>
      <w:r>
        <w:rPr>
          <w:noProof/>
          <w:lang w:val="en-IE"/>
        </w:rPr>
        <w:t>reduce the administrative burden on businesses and facilitate compliance, while m</w:t>
      </w:r>
      <w:r w:rsidRPr="009B4357">
        <w:rPr>
          <w:noProof/>
          <w:lang w:val="en-IE"/>
        </w:rPr>
        <w:t>aintaining the FSR’s effectiveness.</w:t>
      </w:r>
    </w:p>
    <w:p w14:paraId="5644FE9B" w14:textId="159A2CE8" w:rsidR="00A140A7" w:rsidRPr="003412EE" w:rsidRDefault="00A140A7" w:rsidP="003412EE">
      <w:pPr>
        <w:rPr>
          <w:noProof/>
          <w:lang w:val="en-IE"/>
        </w:rPr>
      </w:pPr>
    </w:p>
    <w:sectPr w:rsidR="00A140A7" w:rsidRPr="003412EE" w:rsidSect="009A6162">
      <w:headerReference w:type="even" r:id="rId34"/>
      <w:headerReference w:type="default" r:id="rId35"/>
      <w:footerReference w:type="even" r:id="rId36"/>
      <w:footerReference w:type="default" r:id="rId37"/>
      <w:headerReference w:type="first" r:id="rId38"/>
      <w:footerReference w:type="first" r:id="rId39"/>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D114A6" w14:textId="77777777" w:rsidR="004E423A" w:rsidRDefault="004E423A">
      <w:pPr>
        <w:spacing w:after="0"/>
      </w:pPr>
      <w:r>
        <w:separator/>
      </w:r>
    </w:p>
  </w:endnote>
  <w:endnote w:type="continuationSeparator" w:id="0">
    <w:p w14:paraId="3DE8AA4D" w14:textId="77777777" w:rsidR="004E423A" w:rsidRDefault="004E423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DengXian Light">
    <w:altName w:val="等线 Light"/>
    <w:charset w:val="86"/>
    <w:family w:val="auto"/>
    <w:pitch w:val="variable"/>
    <w:sig w:usb0="A00002BF" w:usb1="38CF7CFA" w:usb2="00000016" w:usb3="00000000" w:csb0="0004000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BB937" w14:textId="5291359C" w:rsidR="002214E6" w:rsidRPr="002214E6" w:rsidRDefault="002214E6" w:rsidP="002214E6">
    <w:pPr>
      <w:pStyle w:val="FooterCoverPage"/>
      <w:rPr>
        <w:rFonts w:ascii="Arial" w:hAnsi="Arial" w:cs="Arial"/>
        <w:b/>
        <w:sz w:val="48"/>
      </w:rPr>
    </w:pPr>
    <w:r w:rsidRPr="002214E6">
      <w:rPr>
        <w:rFonts w:ascii="Arial" w:hAnsi="Arial" w:cs="Arial"/>
        <w:b/>
        <w:sz w:val="48"/>
      </w:rPr>
      <w:t>EN</w:t>
    </w:r>
    <w:r w:rsidRPr="002214E6">
      <w:rPr>
        <w:rFonts w:ascii="Arial" w:hAnsi="Arial" w:cs="Arial"/>
        <w:b/>
        <w:sz w:val="48"/>
      </w:rPr>
      <w:tab/>
    </w:r>
    <w:r w:rsidRPr="002214E6">
      <w:rPr>
        <w:rFonts w:ascii="Arial" w:hAnsi="Arial" w:cs="Arial"/>
        <w:b/>
        <w:sz w:val="48"/>
      </w:rPr>
      <w:tab/>
    </w:r>
    <w:r w:rsidRPr="002214E6">
      <w:tab/>
    </w:r>
    <w:r w:rsidRPr="002214E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A5B19" w14:textId="1F3F375C" w:rsidR="002214E6" w:rsidRPr="002214E6" w:rsidRDefault="002214E6" w:rsidP="002214E6">
    <w:pPr>
      <w:pStyle w:val="FooterCoverPage"/>
      <w:rPr>
        <w:rFonts w:ascii="Arial" w:hAnsi="Arial" w:cs="Arial"/>
        <w:b/>
        <w:sz w:val="48"/>
      </w:rPr>
    </w:pPr>
    <w:r w:rsidRPr="002214E6">
      <w:rPr>
        <w:rFonts w:ascii="Arial" w:hAnsi="Arial" w:cs="Arial"/>
        <w:b/>
        <w:sz w:val="48"/>
      </w:rPr>
      <w:t>EN</w:t>
    </w:r>
    <w:r w:rsidRPr="002214E6">
      <w:rPr>
        <w:rFonts w:ascii="Arial" w:hAnsi="Arial" w:cs="Arial"/>
        <w:b/>
        <w:sz w:val="48"/>
      </w:rPr>
      <w:tab/>
    </w:r>
    <w:r w:rsidRPr="002214E6">
      <w:rPr>
        <w:rFonts w:ascii="Arial" w:hAnsi="Arial" w:cs="Arial"/>
        <w:b/>
        <w:sz w:val="48"/>
      </w:rPr>
      <w:tab/>
    </w:r>
    <w:r w:rsidRPr="002214E6">
      <w:tab/>
    </w:r>
    <w:r w:rsidRPr="002214E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03F90" w14:textId="77777777" w:rsidR="002214E6" w:rsidRPr="002214E6" w:rsidRDefault="002214E6" w:rsidP="002214E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2C305" w14:textId="77777777" w:rsidR="008E336A" w:rsidRDefault="008E336A">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18236" w14:textId="5E1C2D15" w:rsidR="008E336A" w:rsidRDefault="008E336A">
    <w:pPr>
      <w:pStyle w:val="FooterLine"/>
      <w:jc w:val="center"/>
    </w:pPr>
    <w:r>
      <w:fldChar w:fldCharType="begin"/>
    </w:r>
    <w:r>
      <w:instrText>PAGE   \* MERGEFORMAT</w:instrText>
    </w:r>
    <w:r>
      <w:fldChar w:fldCharType="separate"/>
    </w:r>
    <w:r w:rsidR="002214E6">
      <w:rPr>
        <w:noProof/>
      </w:rPr>
      <w:t>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91F7D" w14:textId="54EC5A16" w:rsidR="008E336A" w:rsidRPr="00F27328" w:rsidRDefault="008E336A" w:rsidP="00F273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F319B8" w14:textId="77777777" w:rsidR="004E423A" w:rsidRDefault="004E423A">
      <w:pPr>
        <w:spacing w:after="0"/>
      </w:pPr>
      <w:r>
        <w:separator/>
      </w:r>
    </w:p>
  </w:footnote>
  <w:footnote w:type="continuationSeparator" w:id="0">
    <w:p w14:paraId="72B00B88" w14:textId="77777777" w:rsidR="004E423A" w:rsidRDefault="004E423A">
      <w:pPr>
        <w:spacing w:after="0"/>
      </w:pPr>
      <w:r>
        <w:continuationSeparator/>
      </w:r>
    </w:p>
  </w:footnote>
  <w:footnote w:id="1">
    <w:p w14:paraId="3B4383FD" w14:textId="07382D7E" w:rsidR="00A16B12" w:rsidRPr="00A16B12" w:rsidRDefault="00A16B12">
      <w:pPr>
        <w:pStyle w:val="FootnoteText"/>
        <w:rPr>
          <w:lang w:val="en-IE"/>
        </w:rPr>
      </w:pPr>
      <w:r>
        <w:t>(</w:t>
      </w:r>
      <w:r>
        <w:rPr>
          <w:rStyle w:val="FootnoteReference"/>
        </w:rPr>
        <w:footnoteRef/>
      </w:r>
      <w:r>
        <w:t>)</w:t>
      </w:r>
      <w:r>
        <w:tab/>
      </w:r>
      <w:hyperlink r:id="rId1" w:history="1">
        <w:r w:rsidRPr="00FE6A0E">
          <w:rPr>
            <w:rStyle w:val="Hyperlink"/>
          </w:rPr>
          <w:t>Regulation (EU) 2022/2560 of the European Parliament and of the Council of 14 December 2022 on foreign subsidies distorting the internal market</w:t>
        </w:r>
      </w:hyperlink>
      <w:r>
        <w:t xml:space="preserve">, </w:t>
      </w:r>
      <w:r w:rsidRPr="00A16B12">
        <w:t>OJ L 330, 23.12.2022, pp. 1–45</w:t>
      </w:r>
      <w:r w:rsidR="002212ED">
        <w:t>.</w:t>
      </w:r>
    </w:p>
  </w:footnote>
  <w:footnote w:id="2">
    <w:p w14:paraId="579D56F3" w14:textId="548F229F" w:rsidR="001E3372" w:rsidRPr="00E6306E" w:rsidRDefault="001E3372" w:rsidP="001E3372">
      <w:pPr>
        <w:pStyle w:val="FootnoteText"/>
        <w:rPr>
          <w:lang w:val="en-IE"/>
        </w:rPr>
      </w:pPr>
      <w:r>
        <w:t>(</w:t>
      </w:r>
      <w:r>
        <w:rPr>
          <w:rStyle w:val="FootnoteReference"/>
        </w:rPr>
        <w:footnoteRef/>
      </w:r>
      <w:r>
        <w:t>)</w:t>
      </w:r>
      <w:r>
        <w:tab/>
        <w:t>See Recital 6 FSR</w:t>
      </w:r>
      <w:r w:rsidR="002212ED">
        <w:t>.</w:t>
      </w:r>
    </w:p>
  </w:footnote>
  <w:footnote w:id="3">
    <w:p w14:paraId="5CBB4ACF" w14:textId="48F83F24" w:rsidR="00046109" w:rsidRPr="00046109" w:rsidRDefault="00046109">
      <w:pPr>
        <w:pStyle w:val="FootnoteText"/>
        <w:rPr>
          <w:lang w:val="en-IE"/>
        </w:rPr>
      </w:pPr>
      <w:r>
        <w:t>(</w:t>
      </w:r>
      <w:r>
        <w:rPr>
          <w:rStyle w:val="FootnoteReference"/>
        </w:rPr>
        <w:footnoteRef/>
      </w:r>
      <w:r>
        <w:t>)</w:t>
      </w:r>
      <w:r>
        <w:tab/>
        <w:t>See Article 52 FSR</w:t>
      </w:r>
      <w:r w:rsidR="00F6331D">
        <w:t xml:space="preserve">. </w:t>
      </w:r>
    </w:p>
  </w:footnote>
  <w:footnote w:id="4">
    <w:p w14:paraId="408CD779" w14:textId="41EC8682" w:rsidR="00D60C3C" w:rsidRPr="00D60C3C" w:rsidRDefault="00D60C3C">
      <w:pPr>
        <w:pStyle w:val="FootnoteText"/>
        <w:rPr>
          <w:lang w:val="en-IE"/>
        </w:rPr>
      </w:pPr>
      <w:r>
        <w:t>(</w:t>
      </w:r>
      <w:r>
        <w:rPr>
          <w:rStyle w:val="FootnoteReference"/>
        </w:rPr>
        <w:footnoteRef/>
      </w:r>
      <w:r>
        <w:t>)</w:t>
      </w:r>
      <w:r>
        <w:tab/>
        <w:t>Joint Declaration of the European Parliament, the Council and the Commission on Regulation (EU) 2022/2560.</w:t>
      </w:r>
    </w:p>
  </w:footnote>
  <w:footnote w:id="5">
    <w:p w14:paraId="43A41AB5" w14:textId="285BFD18" w:rsidR="0010546C" w:rsidRPr="00114064" w:rsidRDefault="00BD1033" w:rsidP="0010546C">
      <w:pPr>
        <w:pStyle w:val="FootnoteText"/>
        <w:rPr>
          <w:lang w:val="en-IE"/>
        </w:rPr>
      </w:pPr>
      <w:r>
        <w:t>(</w:t>
      </w:r>
      <w:r w:rsidR="0010546C" w:rsidRPr="00114064">
        <w:rPr>
          <w:rStyle w:val="FootnoteReference"/>
        </w:rPr>
        <w:footnoteRef/>
      </w:r>
      <w:r>
        <w:t>)</w:t>
      </w:r>
      <w:r w:rsidR="00783C85">
        <w:tab/>
      </w:r>
      <w:hyperlink r:id="rId2" w:history="1">
        <w:r w:rsidR="0040235D" w:rsidRPr="009914DD">
          <w:rPr>
            <w:rStyle w:val="Hyperlink"/>
          </w:rPr>
          <w:t>White Paper on levelling the playing field as regards foreign subsidies</w:t>
        </w:r>
      </w:hyperlink>
      <w:r w:rsidR="0040235D">
        <w:t>,</w:t>
      </w:r>
      <w:r w:rsidR="0040235D" w:rsidRPr="00114064">
        <w:t xml:space="preserve"> COM</w:t>
      </w:r>
      <w:r w:rsidR="0040235D">
        <w:t>(</w:t>
      </w:r>
      <w:r w:rsidR="0040235D" w:rsidRPr="00114064">
        <w:t>2020</w:t>
      </w:r>
      <w:r w:rsidR="0040235D">
        <w:t xml:space="preserve">) </w:t>
      </w:r>
      <w:r w:rsidR="0040235D" w:rsidRPr="00114064">
        <w:t>253 final</w:t>
      </w:r>
      <w:r w:rsidR="0040235D">
        <w:t>.</w:t>
      </w:r>
    </w:p>
  </w:footnote>
  <w:footnote w:id="6">
    <w:p w14:paraId="731FE805" w14:textId="2CB53D5E" w:rsidR="005F27F9" w:rsidRPr="00571EE3" w:rsidRDefault="005F27F9" w:rsidP="005F27F9">
      <w:pPr>
        <w:pStyle w:val="FootnoteText"/>
        <w:rPr>
          <w:lang w:val="en-IE"/>
        </w:rPr>
      </w:pPr>
      <w:r>
        <w:t>(</w:t>
      </w:r>
      <w:r w:rsidRPr="00571EE3">
        <w:rPr>
          <w:rStyle w:val="FootnoteReference"/>
        </w:rPr>
        <w:footnoteRef/>
      </w:r>
      <w:r>
        <w:t>)</w:t>
      </w:r>
      <w:r>
        <w:tab/>
      </w:r>
      <w:r w:rsidR="00D010CE">
        <w:rPr>
          <w:lang w:val="en-IE"/>
        </w:rPr>
        <w:t xml:space="preserve">The results from the public </w:t>
      </w:r>
      <w:r w:rsidRPr="00571EE3">
        <w:rPr>
          <w:lang w:val="en-IE"/>
        </w:rPr>
        <w:t xml:space="preserve">consultation on the White </w:t>
      </w:r>
      <w:r w:rsidR="00D010CE">
        <w:rPr>
          <w:lang w:val="en-IE"/>
        </w:rPr>
        <w:t>P</w:t>
      </w:r>
      <w:r w:rsidRPr="00571EE3">
        <w:rPr>
          <w:lang w:val="en-IE"/>
        </w:rPr>
        <w:t>aper on foreign subsidies</w:t>
      </w:r>
      <w:r w:rsidR="00D010CE">
        <w:rPr>
          <w:lang w:val="en-IE"/>
        </w:rPr>
        <w:t xml:space="preserve"> is available at</w:t>
      </w:r>
      <w:r>
        <w:rPr>
          <w:lang w:val="en-IE"/>
        </w:rPr>
        <w:t xml:space="preserve"> </w:t>
      </w:r>
      <w:hyperlink r:id="rId3" w:history="1">
        <w:r w:rsidRPr="0040235D">
          <w:rPr>
            <w:rStyle w:val="Hyperlink"/>
            <w:lang w:val="en-IE"/>
          </w:rPr>
          <w:t>Have your say porta</w:t>
        </w:r>
        <w:r w:rsidR="00D010CE">
          <w:rPr>
            <w:rStyle w:val="Hyperlink"/>
            <w:lang w:val="en-IE"/>
          </w:rPr>
          <w:t>l (White Paper on Foreign Subsidies)</w:t>
        </w:r>
      </w:hyperlink>
      <w:r>
        <w:rPr>
          <w:lang w:val="en-IE"/>
        </w:rPr>
        <w:t>.</w:t>
      </w:r>
      <w:r w:rsidRPr="00571EE3">
        <w:rPr>
          <w:lang w:val="en-IE"/>
        </w:rPr>
        <w:t xml:space="preserve"> </w:t>
      </w:r>
    </w:p>
  </w:footnote>
  <w:footnote w:id="7">
    <w:p w14:paraId="2705A1D8" w14:textId="40000309" w:rsidR="0093258F" w:rsidRPr="0093258F" w:rsidRDefault="0093258F">
      <w:pPr>
        <w:pStyle w:val="FootnoteText"/>
      </w:pPr>
      <w:r>
        <w:t>(</w:t>
      </w:r>
      <w:r>
        <w:rPr>
          <w:rStyle w:val="FootnoteReference"/>
        </w:rPr>
        <w:footnoteRef/>
      </w:r>
      <w:r>
        <w:t>)</w:t>
      </w:r>
      <w:r>
        <w:tab/>
        <w:t>O</w:t>
      </w:r>
      <w:r w:rsidRPr="0093258F">
        <w:t xml:space="preserve">n 6 October 2020, the Commission published an Inception impact assessment, which was open for feedback until 29 October 2020 and 22 interested stakeholders provided feedback. The Inception impact assessment presented policy options that could be combined and announced the assessment of the different impacts. In the context of the consultation activities with stakeholders, between October 2020 and January 2021, the Commission gathered </w:t>
      </w:r>
      <w:r w:rsidR="007A3981">
        <w:t>target</w:t>
      </w:r>
      <w:r>
        <w:t xml:space="preserve">ed feedback </w:t>
      </w:r>
      <w:r w:rsidRPr="0093258F">
        <w:t>from business and industry groups active in sectors that appear to be affected by foreign subsidies as well as expert groups, public authorities, representatives of SMEs, consumers as well as third-country stakeholders.</w:t>
      </w:r>
    </w:p>
  </w:footnote>
  <w:footnote w:id="8">
    <w:p w14:paraId="207CBF15" w14:textId="57E29521" w:rsidR="0010546C" w:rsidRPr="00B51630" w:rsidRDefault="00BD1033" w:rsidP="0010546C">
      <w:pPr>
        <w:pStyle w:val="FootnoteText"/>
        <w:rPr>
          <w:lang w:val="en-IE"/>
        </w:rPr>
      </w:pPr>
      <w:r>
        <w:t>(</w:t>
      </w:r>
      <w:r w:rsidR="0010546C">
        <w:rPr>
          <w:rStyle w:val="FootnoteReference"/>
        </w:rPr>
        <w:footnoteRef/>
      </w:r>
      <w:r>
        <w:t>)</w:t>
      </w:r>
      <w:r w:rsidR="00783C85">
        <w:tab/>
      </w:r>
      <w:r w:rsidR="0040235D" w:rsidRPr="00B51630">
        <w:rPr>
          <w:lang w:val="en-IE"/>
        </w:rPr>
        <w:t xml:space="preserve">See </w:t>
      </w:r>
      <w:hyperlink r:id="rId4" w:history="1">
        <w:r w:rsidR="0040235D" w:rsidRPr="009914DD">
          <w:rPr>
            <w:rStyle w:val="Hyperlink"/>
            <w:lang w:val="en-IE"/>
          </w:rPr>
          <w:t>Commission Proposal for a Regulation on foreign subsidies distorting the internal market</w:t>
        </w:r>
      </w:hyperlink>
      <w:r w:rsidR="0040235D">
        <w:rPr>
          <w:lang w:val="en-IE"/>
        </w:rPr>
        <w:t>.</w:t>
      </w:r>
    </w:p>
  </w:footnote>
  <w:footnote w:id="9">
    <w:p w14:paraId="39985F6D" w14:textId="0BB84FA5" w:rsidR="00267E72" w:rsidRPr="00267E72" w:rsidRDefault="00BD1033" w:rsidP="00267E72">
      <w:pPr>
        <w:pStyle w:val="FootnoteText"/>
      </w:pPr>
      <w:r>
        <w:t>(</w:t>
      </w:r>
      <w:r w:rsidR="00267E72">
        <w:rPr>
          <w:rStyle w:val="FootnoteReference"/>
        </w:rPr>
        <w:footnoteRef/>
      </w:r>
      <w:r>
        <w:t>)</w:t>
      </w:r>
      <w:r w:rsidR="00267E72">
        <w:tab/>
      </w:r>
      <w:r w:rsidR="000A3FAC">
        <w:t xml:space="preserve">See </w:t>
      </w:r>
      <w:hyperlink r:id="rId5" w:history="1">
        <w:r w:rsidR="000A3FAC" w:rsidRPr="009914DD">
          <w:rPr>
            <w:rStyle w:val="Hyperlink"/>
          </w:rPr>
          <w:t>Commission Staff Working Document Impact Assessment Accompanying the Proposal for a Regulation of the European Parliament and of the Council on foreign subsidies distorting the internal market</w:t>
        </w:r>
      </w:hyperlink>
      <w:r w:rsidR="000A3FAC">
        <w:t>.</w:t>
      </w:r>
      <w:r w:rsidR="00A1357A">
        <w:t xml:space="preserve"> </w:t>
      </w:r>
    </w:p>
  </w:footnote>
  <w:footnote w:id="10">
    <w:p w14:paraId="5E9D07B8" w14:textId="19E8AB43" w:rsidR="00CB5D13" w:rsidRPr="00E6306E" w:rsidRDefault="00CB5D13" w:rsidP="00CB5D13">
      <w:pPr>
        <w:pStyle w:val="FootnoteText"/>
        <w:rPr>
          <w:lang w:val="en-IE"/>
        </w:rPr>
      </w:pPr>
      <w:r>
        <w:t>(</w:t>
      </w:r>
      <w:r>
        <w:rPr>
          <w:rStyle w:val="FootnoteReference"/>
        </w:rPr>
        <w:footnoteRef/>
      </w:r>
      <w:r>
        <w:t>)</w:t>
      </w:r>
      <w:r>
        <w:tab/>
        <w:t>Th</w:t>
      </w:r>
      <w:r w:rsidRPr="006254F6">
        <w:t>e</w:t>
      </w:r>
      <w:r>
        <w:t xml:space="preserve"> FSR legislative background and the </w:t>
      </w:r>
      <w:r w:rsidRPr="006254F6">
        <w:t>Commission</w:t>
      </w:r>
      <w:r>
        <w:t>’s</w:t>
      </w:r>
      <w:r w:rsidRPr="006254F6">
        <w:t xml:space="preserve"> present</w:t>
      </w:r>
      <w:r>
        <w:t xml:space="preserve">ations </w:t>
      </w:r>
      <w:r w:rsidRPr="006254F6">
        <w:t>to the members of the Council Working Party on Competition in a series of meetings from May to December 2021</w:t>
      </w:r>
      <w:r>
        <w:t xml:space="preserve"> is documented at </w:t>
      </w:r>
      <w:hyperlink r:id="rId6" w:history="1">
        <w:r w:rsidR="00095EEE">
          <w:rPr>
            <w:rStyle w:val="Hyperlink"/>
            <w:lang w:val="en-IE"/>
          </w:rPr>
          <w:t>FSR legislative background</w:t>
        </w:r>
      </w:hyperlink>
      <w:r w:rsidR="00095EEE">
        <w:t>.</w:t>
      </w:r>
    </w:p>
  </w:footnote>
  <w:footnote w:id="11">
    <w:p w14:paraId="69BADE6A" w14:textId="241C14F6" w:rsidR="0010546C" w:rsidRPr="007F14DD" w:rsidRDefault="00BD1033" w:rsidP="0010546C">
      <w:pPr>
        <w:pStyle w:val="FootnoteText"/>
        <w:rPr>
          <w:lang w:val="en-IE"/>
        </w:rPr>
      </w:pPr>
      <w:r>
        <w:t>(</w:t>
      </w:r>
      <w:r w:rsidR="0010546C">
        <w:rPr>
          <w:rStyle w:val="FootnoteReference"/>
        </w:rPr>
        <w:footnoteRef/>
      </w:r>
      <w:r>
        <w:t>)</w:t>
      </w:r>
      <w:r w:rsidR="00783C85">
        <w:tab/>
      </w:r>
      <w:r w:rsidR="0010546C">
        <w:t>Commission press release of 30 June 2022</w:t>
      </w:r>
      <w:r w:rsidR="000A3FAC">
        <w:t xml:space="preserve"> </w:t>
      </w:r>
      <w:r w:rsidR="009B7B54">
        <w:t>on</w:t>
      </w:r>
      <w:r w:rsidR="000A3FAC">
        <w:t xml:space="preserve"> </w:t>
      </w:r>
      <w:hyperlink r:id="rId7" w:history="1">
        <w:r w:rsidR="000A3FAC" w:rsidRPr="00BC7CE2">
          <w:rPr>
            <w:rStyle w:val="Hyperlink"/>
          </w:rPr>
          <w:t>Foreign</w:t>
        </w:r>
        <w:r w:rsidR="000A3FAC">
          <w:rPr>
            <w:rStyle w:val="Hyperlink"/>
          </w:rPr>
          <w:t xml:space="preserve"> </w:t>
        </w:r>
        <w:r w:rsidR="000A3FAC" w:rsidRPr="00BC7CE2">
          <w:rPr>
            <w:rStyle w:val="Hyperlink"/>
          </w:rPr>
          <w:t>Subsidies: Commission welcomes political agreement on Regulation on distortive foreign subsidies</w:t>
        </w:r>
      </w:hyperlink>
      <w:r w:rsidR="000A3FAC">
        <w:t>.</w:t>
      </w:r>
      <w:r w:rsidR="0010546C">
        <w:t xml:space="preserve"> </w:t>
      </w:r>
    </w:p>
  </w:footnote>
  <w:footnote w:id="12">
    <w:p w14:paraId="40F36ABD" w14:textId="6223E274" w:rsidR="0010546C" w:rsidRPr="00B72731" w:rsidRDefault="00BD1033" w:rsidP="0010546C">
      <w:pPr>
        <w:pStyle w:val="FootnoteText"/>
        <w:rPr>
          <w:lang w:val="en-IE"/>
        </w:rPr>
      </w:pPr>
      <w:r>
        <w:t>(</w:t>
      </w:r>
      <w:r w:rsidR="0010546C">
        <w:rPr>
          <w:rStyle w:val="FootnoteReference"/>
        </w:rPr>
        <w:footnoteRef/>
      </w:r>
      <w:r>
        <w:t>)</w:t>
      </w:r>
      <w:r w:rsidR="00783C85">
        <w:tab/>
      </w:r>
      <w:r w:rsidR="0010546C" w:rsidRPr="0071069B">
        <w:t>European Parliament press release of 10 November 2022</w:t>
      </w:r>
      <w:r w:rsidR="000A3FAC">
        <w:rPr>
          <w:lang w:val="en-IE"/>
        </w:rPr>
        <w:t xml:space="preserve"> </w:t>
      </w:r>
      <w:r w:rsidR="009B7B54">
        <w:rPr>
          <w:lang w:val="en-IE"/>
        </w:rPr>
        <w:t>on</w:t>
      </w:r>
      <w:r w:rsidR="000A3FAC">
        <w:rPr>
          <w:lang w:val="en-IE"/>
        </w:rPr>
        <w:t xml:space="preserve"> </w:t>
      </w:r>
      <w:hyperlink r:id="rId8" w:history="1">
        <w:r w:rsidR="000A3FAC" w:rsidRPr="00BC7CE2">
          <w:rPr>
            <w:rStyle w:val="Hyperlink"/>
            <w:lang w:val="en-IE"/>
          </w:rPr>
          <w:t>Parliament</w:t>
        </w:r>
        <w:r w:rsidR="000A3FAC">
          <w:rPr>
            <w:rStyle w:val="Hyperlink"/>
            <w:lang w:val="en-IE"/>
          </w:rPr>
          <w:t xml:space="preserve"> </w:t>
        </w:r>
        <w:r w:rsidR="000A3FAC" w:rsidRPr="00BC7CE2">
          <w:rPr>
            <w:rStyle w:val="Hyperlink"/>
            <w:lang w:val="en-IE"/>
          </w:rPr>
          <w:t>approves new tool to ensure fair competition on the single market</w:t>
        </w:r>
      </w:hyperlink>
      <w:r w:rsidR="000A3FAC">
        <w:rPr>
          <w:lang w:val="en-IE"/>
        </w:rPr>
        <w:t>.</w:t>
      </w:r>
      <w:r w:rsidR="0010546C">
        <w:rPr>
          <w:lang w:val="en-IE"/>
        </w:rPr>
        <w:t xml:space="preserve"> </w:t>
      </w:r>
    </w:p>
  </w:footnote>
  <w:footnote w:id="13">
    <w:p w14:paraId="5552B385" w14:textId="046400D5" w:rsidR="0010546C" w:rsidRPr="00B72731" w:rsidRDefault="00BD1033" w:rsidP="0010546C">
      <w:pPr>
        <w:pStyle w:val="FootnoteText"/>
        <w:rPr>
          <w:lang w:val="en-IE"/>
        </w:rPr>
      </w:pPr>
      <w:r>
        <w:t>(</w:t>
      </w:r>
      <w:r w:rsidR="0010546C">
        <w:rPr>
          <w:rStyle w:val="FootnoteReference"/>
        </w:rPr>
        <w:footnoteRef/>
      </w:r>
      <w:r>
        <w:t>)</w:t>
      </w:r>
      <w:r w:rsidR="00783C85">
        <w:tab/>
      </w:r>
      <w:r w:rsidR="0010546C" w:rsidRPr="0071069B">
        <w:t>Council press release of 28 November 2022</w:t>
      </w:r>
      <w:r w:rsidR="000A3FAC">
        <w:rPr>
          <w:lang w:val="en-IE"/>
        </w:rPr>
        <w:t xml:space="preserve"> </w:t>
      </w:r>
      <w:r w:rsidR="009B7B54">
        <w:rPr>
          <w:lang w:val="en-IE"/>
        </w:rPr>
        <w:t>on</w:t>
      </w:r>
      <w:r w:rsidR="000A3FAC">
        <w:rPr>
          <w:lang w:val="en-IE"/>
        </w:rPr>
        <w:t xml:space="preserve"> </w:t>
      </w:r>
      <w:hyperlink r:id="rId9" w:history="1">
        <w:r w:rsidR="000A3FAC" w:rsidRPr="00BC7CE2">
          <w:rPr>
            <w:rStyle w:val="Hyperlink"/>
            <w:lang w:val="en-IE"/>
          </w:rPr>
          <w:t>Council</w:t>
        </w:r>
        <w:r w:rsidR="000A3FAC">
          <w:rPr>
            <w:rStyle w:val="Hyperlink"/>
            <w:lang w:val="en-IE"/>
          </w:rPr>
          <w:t xml:space="preserve"> </w:t>
        </w:r>
        <w:r w:rsidR="000A3FAC" w:rsidRPr="00BC7CE2">
          <w:rPr>
            <w:rStyle w:val="Hyperlink"/>
            <w:lang w:val="en-IE"/>
          </w:rPr>
          <w:t>gives final approval to tackling distortive foreign subsidies on the internal market</w:t>
        </w:r>
      </w:hyperlink>
      <w:r w:rsidR="000A3FAC">
        <w:rPr>
          <w:lang w:val="en-IE"/>
        </w:rPr>
        <w:t>.</w:t>
      </w:r>
      <w:r w:rsidR="0010546C">
        <w:rPr>
          <w:lang w:val="en-IE"/>
        </w:rPr>
        <w:t xml:space="preserve"> </w:t>
      </w:r>
    </w:p>
  </w:footnote>
  <w:footnote w:id="14">
    <w:p w14:paraId="60BDCD81" w14:textId="43103F26" w:rsidR="0010546C" w:rsidRPr="00503098" w:rsidRDefault="00BD1033" w:rsidP="0010546C">
      <w:pPr>
        <w:pStyle w:val="FootnoteText"/>
        <w:rPr>
          <w:lang w:val="en-IE"/>
        </w:rPr>
      </w:pPr>
      <w:r>
        <w:t>(</w:t>
      </w:r>
      <w:r w:rsidR="0010546C">
        <w:rPr>
          <w:rStyle w:val="FootnoteReference"/>
        </w:rPr>
        <w:footnoteRef/>
      </w:r>
      <w:r>
        <w:t>)</w:t>
      </w:r>
      <w:r w:rsidR="00783C85">
        <w:tab/>
      </w:r>
      <w:r w:rsidR="0010546C" w:rsidRPr="00503098">
        <w:rPr>
          <w:lang w:val="en-IE"/>
        </w:rPr>
        <w:t xml:space="preserve">See the FSR draft Implementing Regulation and the feedback received on the Commission </w:t>
      </w:r>
      <w:hyperlink r:id="rId10" w:history="1">
        <w:r w:rsidR="000A3FAC" w:rsidRPr="00EE0D85">
          <w:rPr>
            <w:rStyle w:val="Hyperlink"/>
            <w:lang w:val="en-IE"/>
          </w:rPr>
          <w:t>Have your say porta</w:t>
        </w:r>
        <w:r w:rsidR="00EE0D85" w:rsidRPr="00EE0D85">
          <w:rPr>
            <w:rStyle w:val="Hyperlink"/>
            <w:lang w:val="en-IE"/>
          </w:rPr>
          <w:t>l (</w:t>
        </w:r>
        <w:r w:rsidR="00EE0D85" w:rsidRPr="00EE0D85">
          <w:rPr>
            <w:rStyle w:val="Hyperlink"/>
          </w:rPr>
          <w:t>Distortive foreign subsidies – procedural rules for assessing them</w:t>
        </w:r>
        <w:r w:rsidR="00EE0D85">
          <w:rPr>
            <w:rStyle w:val="Hyperlink"/>
          </w:rPr>
          <w:t>)</w:t>
        </w:r>
      </w:hyperlink>
      <w:r w:rsidR="000A3FAC">
        <w:rPr>
          <w:lang w:val="en-IE"/>
        </w:rPr>
        <w:t>.</w:t>
      </w:r>
      <w:r w:rsidR="0010546C">
        <w:rPr>
          <w:lang w:val="en-IE"/>
        </w:rPr>
        <w:t xml:space="preserve"> </w:t>
      </w:r>
    </w:p>
  </w:footnote>
  <w:footnote w:id="15">
    <w:p w14:paraId="0D8CD765" w14:textId="192E5706" w:rsidR="007428A4" w:rsidRPr="00E6306E" w:rsidRDefault="007428A4">
      <w:pPr>
        <w:pStyle w:val="FootnoteText"/>
        <w:rPr>
          <w:lang w:val="en-IE"/>
        </w:rPr>
      </w:pPr>
      <w:r>
        <w:t>(</w:t>
      </w:r>
      <w:r>
        <w:rPr>
          <w:rStyle w:val="FootnoteReference"/>
        </w:rPr>
        <w:footnoteRef/>
      </w:r>
      <w:r>
        <w:t>)</w:t>
      </w:r>
      <w:r>
        <w:tab/>
        <w:t xml:space="preserve">On 30 June 2023, following two previous meetings in February and May 2023, the Foreign Subsidies Advisory Committee approved the draft FSIR. </w:t>
      </w:r>
      <w:r w:rsidR="0034621E">
        <w:t xml:space="preserve">The documentation is available on the </w:t>
      </w:r>
      <w:hyperlink r:id="rId11" w:history="1">
        <w:r w:rsidR="0034621E" w:rsidRPr="00BC7CE2">
          <w:rPr>
            <w:rStyle w:val="Hyperlink"/>
          </w:rPr>
          <w:t>Commission Comitology Register for the Foreign Subsidies Advisory Committee</w:t>
        </w:r>
      </w:hyperlink>
      <w:r w:rsidR="0034621E">
        <w:t>.</w:t>
      </w:r>
    </w:p>
  </w:footnote>
  <w:footnote w:id="16">
    <w:p w14:paraId="6C81C60C" w14:textId="79F90A23" w:rsidR="0010546C" w:rsidRPr="00621E93" w:rsidRDefault="00BD1033" w:rsidP="0010546C">
      <w:pPr>
        <w:pStyle w:val="FootnoteText"/>
      </w:pPr>
      <w:r>
        <w:t>(</w:t>
      </w:r>
      <w:r w:rsidR="0010546C">
        <w:rPr>
          <w:rStyle w:val="FootnoteReference"/>
        </w:rPr>
        <w:footnoteRef/>
      </w:r>
      <w:r>
        <w:t>)</w:t>
      </w:r>
      <w:r w:rsidR="00783C85">
        <w:tab/>
      </w:r>
      <w:r w:rsidR="0010546C" w:rsidRPr="00EE1259">
        <w:t>Annex I to the FSIR concerns the Form FS-CO relating to the notification of a concentration pursuant to the FSR and Annex II to the FSIR concerns the Form FS-PP relating to the notification of financial contributions in the context of public procurement procedures pursuant to the FSR.</w:t>
      </w:r>
    </w:p>
  </w:footnote>
  <w:footnote w:id="17">
    <w:p w14:paraId="4997A1AF" w14:textId="5949C673" w:rsidR="0010546C" w:rsidRPr="00656AB8" w:rsidRDefault="00BD1033" w:rsidP="0010546C">
      <w:pPr>
        <w:pStyle w:val="FootnoteText"/>
        <w:rPr>
          <w:lang w:val="en-IE"/>
        </w:rPr>
      </w:pPr>
      <w:r>
        <w:t>(</w:t>
      </w:r>
      <w:r w:rsidR="0010546C">
        <w:rPr>
          <w:rStyle w:val="FootnoteReference"/>
        </w:rPr>
        <w:footnoteRef/>
      </w:r>
      <w:r>
        <w:t>)</w:t>
      </w:r>
      <w:r w:rsidR="00783C85">
        <w:tab/>
      </w:r>
      <w:r w:rsidR="0010546C" w:rsidRPr="006E494E">
        <w:t>Communication from the Commission</w:t>
      </w:r>
      <w:r w:rsidR="000B43FD">
        <w:t xml:space="preserve"> –</w:t>
      </w:r>
      <w:r w:rsidR="0010546C" w:rsidRPr="006E494E">
        <w:t xml:space="preserve"> </w:t>
      </w:r>
      <w:hyperlink r:id="rId12" w:history="1">
        <w:r w:rsidR="0034621E" w:rsidRPr="00BC7CE2">
          <w:rPr>
            <w:rStyle w:val="Hyperlink"/>
          </w:rPr>
          <w:t>Communication pursuant to Articles 4(2), 8(1), 15, 17(2) and 25 of Implementing Regulation (EU) 2023/1441 on detailed arrangements for the conduct of proceedings by the Commission pursuant to Regulation (EU) 2022/2560 of the European Parliament and of the Council on foreign subsidies distorting the internal market</w:t>
        </w:r>
      </w:hyperlink>
      <w:r w:rsidR="0034621E">
        <w:t xml:space="preserve">, </w:t>
      </w:r>
      <w:r w:rsidR="0034621E" w:rsidRPr="00656AB8">
        <w:t>C/2023/4749</w:t>
      </w:r>
      <w:r w:rsidR="0034621E">
        <w:t xml:space="preserve">, </w:t>
      </w:r>
      <w:r w:rsidR="0034621E" w:rsidRPr="00656AB8">
        <w:t>OJ C 246, 13.7.2023, pp. 2–5</w:t>
      </w:r>
      <w:r w:rsidR="0034621E">
        <w:t>.</w:t>
      </w:r>
    </w:p>
  </w:footnote>
  <w:footnote w:id="18">
    <w:p w14:paraId="60AB78A8" w14:textId="2B7BB09C" w:rsidR="001E5545" w:rsidRPr="00E6306E" w:rsidRDefault="001E5545">
      <w:pPr>
        <w:pStyle w:val="FootnoteText"/>
        <w:rPr>
          <w:lang w:val="en-IE"/>
        </w:rPr>
      </w:pPr>
      <w:r>
        <w:t>(</w:t>
      </w:r>
      <w:r>
        <w:rPr>
          <w:rStyle w:val="FootnoteReference"/>
        </w:rPr>
        <w:footnoteRef/>
      </w:r>
      <w:r>
        <w:t>)</w:t>
      </w:r>
      <w:r>
        <w:tab/>
        <w:t>Article 54(3) FSR indicates that by way of derogation, Article 14(5), (6) and (7) FSR shall apply from 13 January 2024.</w:t>
      </w:r>
    </w:p>
  </w:footnote>
  <w:footnote w:id="19">
    <w:p w14:paraId="56E10193" w14:textId="759E33C1" w:rsidR="00F3770F" w:rsidRPr="00E6306E" w:rsidRDefault="00F3770F">
      <w:pPr>
        <w:pStyle w:val="FootnoteText"/>
        <w:rPr>
          <w:lang w:val="en-IE"/>
        </w:rPr>
      </w:pPr>
      <w:r>
        <w:t>(</w:t>
      </w:r>
      <w:r>
        <w:rPr>
          <w:rStyle w:val="FootnoteReference"/>
        </w:rPr>
        <w:footnoteRef/>
      </w:r>
      <w:r>
        <w:t>)</w:t>
      </w:r>
      <w:r>
        <w:tab/>
      </w:r>
      <w:r w:rsidR="00F72C63" w:rsidRPr="00F72C63">
        <w:t>Communication from the Commission – Guidelines on the application of certain provisions of Regulation (EU) 2022/2560 of the European Parliament and of the Council on foreign subsidies distorting the internal market, C/2026/42</w:t>
      </w:r>
      <w:r w:rsidR="00F72C63">
        <w:t xml:space="preserve">. See </w:t>
      </w:r>
      <w:r w:rsidR="0034621E">
        <w:t xml:space="preserve">Commission press release of 9 January 2026 – </w:t>
      </w:r>
      <w:hyperlink r:id="rId13" w:history="1">
        <w:r w:rsidR="0034621E" w:rsidRPr="00BC7CE2">
          <w:rPr>
            <w:rStyle w:val="Hyperlink"/>
          </w:rPr>
          <w:t>Commission publishes Foreign Subsidies Regulation Guidelines</w:t>
        </w:r>
      </w:hyperlink>
      <w:r w:rsidR="0034621E">
        <w:t>.</w:t>
      </w:r>
    </w:p>
  </w:footnote>
  <w:footnote w:id="20">
    <w:p w14:paraId="28DAEE52" w14:textId="2B07CCF4" w:rsidR="003318E4" w:rsidRPr="00E6306E" w:rsidRDefault="003318E4" w:rsidP="003318E4">
      <w:pPr>
        <w:pStyle w:val="FootnoteText"/>
        <w:rPr>
          <w:lang w:val="en-IE"/>
        </w:rPr>
      </w:pPr>
      <w:r>
        <w:t>(</w:t>
      </w:r>
      <w:r>
        <w:rPr>
          <w:rStyle w:val="FootnoteReference"/>
        </w:rPr>
        <w:footnoteRef/>
      </w:r>
      <w:r>
        <w:t>)</w:t>
      </w:r>
      <w:r>
        <w:tab/>
        <w:t>In addition to the three enforcement procedures against specific undertakings, Article 36 FSR lays down the possibility of the Commission conducting a market investigation into a particular sector, a particular type of economic activity or into the use of a particular subsidy instrument in case the information available to the Commission substantiates a reasonable suspicion that foreign subsidies in the particular sector, for the particular type of economic activity or based on the particular subsidy instrument may distort the internal market.</w:t>
      </w:r>
    </w:p>
  </w:footnote>
  <w:footnote w:id="21">
    <w:p w14:paraId="676FC5E0" w14:textId="654E8009" w:rsidR="00D92C28" w:rsidRPr="00D92C28" w:rsidRDefault="00D92C28">
      <w:pPr>
        <w:pStyle w:val="FootnoteText"/>
        <w:rPr>
          <w:lang w:val="en-US"/>
        </w:rPr>
      </w:pPr>
      <w:r>
        <w:t>(</w:t>
      </w:r>
      <w:r>
        <w:rPr>
          <w:rStyle w:val="FootnoteReference"/>
        </w:rPr>
        <w:footnoteRef/>
      </w:r>
      <w:r>
        <w:t>)</w:t>
      </w:r>
      <w:r>
        <w:tab/>
        <w:t>Under Article 2(3) FSR, ‘</w:t>
      </w:r>
      <w:r w:rsidR="006B14BD">
        <w:t>n</w:t>
      </w:r>
      <w:r>
        <w:t xml:space="preserve">otifying parties’ </w:t>
      </w:r>
      <w:r w:rsidRPr="00D92C28">
        <w:t>for the purpose of notifications and declarations regarding foreign financial contributions in public procurement’ means all economic operators, groups of economic operators, main subcontractors and main suppliers covered by the notification obligation in accordance with Article 29(5) of Regulation (EU) 2022/2560.</w:t>
      </w:r>
    </w:p>
  </w:footnote>
  <w:footnote w:id="22">
    <w:p w14:paraId="16AFF8FD" w14:textId="77777777" w:rsidR="00346DB6" w:rsidRPr="005A3F69" w:rsidRDefault="00346DB6" w:rsidP="00346DB6">
      <w:pPr>
        <w:pStyle w:val="FootnoteText"/>
        <w:rPr>
          <w:lang w:val="en-US"/>
        </w:rPr>
      </w:pPr>
      <w:r>
        <w:t>(</w:t>
      </w:r>
      <w:r>
        <w:rPr>
          <w:rStyle w:val="FootnoteReference"/>
        </w:rPr>
        <w:footnoteRef/>
      </w:r>
      <w:r>
        <w:t>)</w:t>
      </w:r>
      <w:r>
        <w:tab/>
        <w:t xml:space="preserve">As defined in </w:t>
      </w:r>
      <w:r w:rsidRPr="00AC6E91">
        <w:t>Article 3(2), first subparagraph, of Commission Regulation (EU) No 1407/2013</w:t>
      </w:r>
      <w:r>
        <w:t>.</w:t>
      </w:r>
    </w:p>
  </w:footnote>
  <w:footnote w:id="23">
    <w:p w14:paraId="7C836297" w14:textId="0F92B97B" w:rsidR="006905A1" w:rsidRPr="006041B3" w:rsidRDefault="006905A1">
      <w:pPr>
        <w:pStyle w:val="FootnoteText"/>
        <w:rPr>
          <w:lang w:val="en-IE"/>
        </w:rPr>
      </w:pPr>
      <w:r>
        <w:t>(</w:t>
      </w:r>
      <w:r>
        <w:rPr>
          <w:rStyle w:val="FootnoteReference"/>
        </w:rPr>
        <w:footnoteRef/>
      </w:r>
      <w:r>
        <w:t>)</w:t>
      </w:r>
      <w:r>
        <w:tab/>
        <w:t xml:space="preserve">Unless </w:t>
      </w:r>
      <w:r w:rsidRPr="006041B3">
        <w:t xml:space="preserve">specifically stated otherwise, the Report includes information on the enforcement activities under the FSR until </w:t>
      </w:r>
      <w:r w:rsidR="00B72A03" w:rsidRPr="006041B3">
        <w:t>31 May</w:t>
      </w:r>
      <w:r w:rsidRPr="006041B3">
        <w:t xml:space="preserve"> 2026.</w:t>
      </w:r>
    </w:p>
  </w:footnote>
  <w:footnote w:id="24">
    <w:p w14:paraId="59B11B06" w14:textId="2A653CDE" w:rsidR="00931BB9" w:rsidRPr="00F21A0D" w:rsidRDefault="00931BB9">
      <w:pPr>
        <w:pStyle w:val="FootnoteText"/>
        <w:rPr>
          <w:lang w:val="en-IE"/>
        </w:rPr>
      </w:pPr>
      <w:r w:rsidRPr="006041B3">
        <w:t>(</w:t>
      </w:r>
      <w:r w:rsidRPr="006041B3">
        <w:rPr>
          <w:rStyle w:val="FootnoteReference"/>
        </w:rPr>
        <w:footnoteRef/>
      </w:r>
      <w:r w:rsidRPr="006041B3">
        <w:t>)</w:t>
      </w:r>
      <w:r w:rsidRPr="006041B3">
        <w:tab/>
        <w:t>Under Artic</w:t>
      </w:r>
      <w:r w:rsidR="00060876" w:rsidRPr="006041B3">
        <w:t>l</w:t>
      </w:r>
      <w:r w:rsidRPr="006041B3">
        <w:t>e 20(3)(a)</w:t>
      </w:r>
      <w:r w:rsidR="00D86D66" w:rsidRPr="006041B3">
        <w:t xml:space="preserve"> </w:t>
      </w:r>
      <w:r w:rsidRPr="006041B3">
        <w:t>FSR, at</w:t>
      </w:r>
      <w:r>
        <w:t xml:space="preserve"> least one of the undertaking concerned must be established in the Union and generate an aggregate Union turnover of at least EUR 500 million. Under Article 1(2) EUMR, the combined aggregate worldwide turnover of all the undertakings concerned must exceed EUR 5 000 million and the Union- wide turnover of each of at least two of the undertakings concerned must exceed EUR 250 million. </w:t>
      </w:r>
    </w:p>
  </w:footnote>
  <w:footnote w:id="25">
    <w:p w14:paraId="33DD2B10" w14:textId="4D94C11D" w:rsidR="00C3446C" w:rsidRPr="00711A23" w:rsidRDefault="00C3446C">
      <w:pPr>
        <w:pStyle w:val="FootnoteText"/>
        <w:rPr>
          <w:lang w:val="en-US"/>
        </w:rPr>
      </w:pPr>
      <w:r>
        <w:t>(</w:t>
      </w:r>
      <w:r>
        <w:rPr>
          <w:rStyle w:val="FootnoteReference"/>
        </w:rPr>
        <w:footnoteRef/>
      </w:r>
      <w:r>
        <w:t>)</w:t>
      </w:r>
      <w:r>
        <w:tab/>
        <w:t>See 2.5.1 Communication from the Commission – Guidelines on the application of certain provisions of Regulation (EU) 2022/2560 of the European Parliament and of the Council on foreign subsidies distorting the internal market, C/2026/42.</w:t>
      </w:r>
    </w:p>
  </w:footnote>
  <w:footnote w:id="26">
    <w:p w14:paraId="232C69CB" w14:textId="66B08CF9" w:rsidR="003E2A8D" w:rsidRPr="003E2A8D" w:rsidRDefault="003E2A8D" w:rsidP="003E2A8D">
      <w:pPr>
        <w:pStyle w:val="FootnoteText"/>
      </w:pPr>
      <w:r>
        <w:t>(</w:t>
      </w:r>
      <w:r>
        <w:rPr>
          <w:rStyle w:val="FootnoteReference"/>
        </w:rPr>
        <w:footnoteRef/>
      </w:r>
      <w:r>
        <w:t>)</w:t>
      </w:r>
      <w:r>
        <w:tab/>
      </w:r>
      <w:hyperlink r:id="rId14" w:history="1">
        <w:r w:rsidR="00EE6370" w:rsidRPr="00AF650D">
          <w:rPr>
            <w:rStyle w:val="Hyperlink"/>
          </w:rPr>
          <w:t>Multiple Mixed Framework Contract for the Provision of Expert Consultancy Services and Studies in the Context of Investigations and Enforcement Related to Foreign Subsidies</w:t>
        </w:r>
      </w:hyperlink>
      <w:r>
        <w:t xml:space="preserve"> (COMP/2023/OP/0017).</w:t>
      </w:r>
    </w:p>
  </w:footnote>
  <w:footnote w:id="27">
    <w:p w14:paraId="3DD30758" w14:textId="1384B50A" w:rsidR="00E56A3A" w:rsidRPr="00E6306E" w:rsidRDefault="00E56A3A" w:rsidP="00E56A3A">
      <w:pPr>
        <w:pStyle w:val="FootnoteText"/>
        <w:rPr>
          <w:lang w:val="en-IE"/>
        </w:rPr>
      </w:pPr>
      <w:r>
        <w:t>(</w:t>
      </w:r>
      <w:r>
        <w:rPr>
          <w:rStyle w:val="FootnoteReference"/>
        </w:rPr>
        <w:footnoteRef/>
      </w:r>
      <w:r>
        <w:t>)</w:t>
      </w:r>
      <w:r>
        <w:tab/>
      </w:r>
      <w:r w:rsidR="00271F41" w:rsidRPr="00E56A3A">
        <w:t>See the European Commission’s public consultation</w:t>
      </w:r>
      <w:r w:rsidR="00271F41">
        <w:t xml:space="preserve"> on the Commission </w:t>
      </w:r>
      <w:hyperlink r:id="rId15" w:history="1">
        <w:r w:rsidR="00271F41" w:rsidRPr="00AF650D">
          <w:rPr>
            <w:rStyle w:val="Hyperlink"/>
          </w:rPr>
          <w:t>Have your say portal</w:t>
        </w:r>
      </w:hyperlink>
      <w:r w:rsidR="00271F41" w:rsidRPr="00E56A3A">
        <w:t xml:space="preserve">, and the Call for Evidence, available </w:t>
      </w:r>
      <w:r w:rsidR="00271F41">
        <w:t xml:space="preserve">on the same </w:t>
      </w:r>
      <w:hyperlink r:id="rId16" w:history="1">
        <w:r w:rsidR="00271F41" w:rsidRPr="00AF650D">
          <w:rPr>
            <w:rStyle w:val="Hyperlink"/>
          </w:rPr>
          <w:t>Have your say portal</w:t>
        </w:r>
      </w:hyperlink>
      <w:r w:rsidR="00271F41">
        <w:t>.</w:t>
      </w:r>
      <w:r>
        <w:t xml:space="preserve"> </w:t>
      </w:r>
    </w:p>
  </w:footnote>
  <w:footnote w:id="28">
    <w:p w14:paraId="2E22FCBA" w14:textId="6B672EC5" w:rsidR="00E245E5" w:rsidRPr="00E6306E" w:rsidRDefault="00E245E5">
      <w:pPr>
        <w:pStyle w:val="FootnoteText"/>
        <w:rPr>
          <w:lang w:val="en-IE"/>
        </w:rPr>
      </w:pPr>
      <w:r w:rsidRPr="00E6306E">
        <w:rPr>
          <w:lang w:val="en-IE"/>
        </w:rPr>
        <w:t>(</w:t>
      </w:r>
      <w:r>
        <w:rPr>
          <w:rStyle w:val="FootnoteReference"/>
        </w:rPr>
        <w:footnoteRef/>
      </w:r>
      <w:r w:rsidRPr="00E6306E">
        <w:rPr>
          <w:lang w:val="en-IE"/>
        </w:rPr>
        <w:t>)</w:t>
      </w:r>
      <w:r w:rsidRPr="00E6306E">
        <w:rPr>
          <w:lang w:val="en-IE"/>
        </w:rPr>
        <w:tab/>
        <w:t>With a particular focus on</w:t>
      </w:r>
      <w:r>
        <w:rPr>
          <w:lang w:val="en-IE"/>
        </w:rPr>
        <w:t xml:space="preserve"> </w:t>
      </w:r>
      <w:r w:rsidR="00FB2F78">
        <w:rPr>
          <w:lang w:val="en-IE"/>
        </w:rPr>
        <w:t>cases administratively closed after the</w:t>
      </w:r>
      <w:r w:rsidRPr="00FB2F78">
        <w:rPr>
          <w:lang w:val="en-IE"/>
        </w:rPr>
        <w:t xml:space="preserve"> p</w:t>
      </w:r>
      <w:r>
        <w:rPr>
          <w:lang w:val="en-IE"/>
        </w:rPr>
        <w:t xml:space="preserve">reliminary review </w:t>
      </w:r>
      <w:r w:rsidR="00FB2F78">
        <w:rPr>
          <w:lang w:val="en-IE"/>
        </w:rPr>
        <w:t>phase</w:t>
      </w:r>
      <w:r>
        <w:rPr>
          <w:lang w:val="en-IE"/>
        </w:rPr>
        <w:t>.</w:t>
      </w:r>
    </w:p>
  </w:footnote>
  <w:footnote w:id="29">
    <w:p w14:paraId="62DAE95D" w14:textId="04007021" w:rsidR="00E8759E" w:rsidRPr="00E8759E" w:rsidRDefault="00E8759E">
      <w:pPr>
        <w:pStyle w:val="FootnoteText"/>
        <w:rPr>
          <w:lang w:val="en-US"/>
        </w:rPr>
      </w:pPr>
      <w:r>
        <w:t>(</w:t>
      </w:r>
      <w:r>
        <w:rPr>
          <w:rStyle w:val="FootnoteReference"/>
        </w:rPr>
        <w:footnoteRef/>
      </w:r>
      <w:r>
        <w:t>)</w:t>
      </w:r>
      <w:r>
        <w:tab/>
      </w:r>
      <w:r w:rsidRPr="003B001D">
        <w:rPr>
          <w:szCs w:val="24"/>
        </w:rPr>
        <w:t xml:space="preserve">i.e. </w:t>
      </w:r>
      <w:r w:rsidR="002A6823">
        <w:rPr>
          <w:szCs w:val="24"/>
        </w:rPr>
        <w:t>c</w:t>
      </w:r>
      <w:r w:rsidRPr="003B001D">
        <w:rPr>
          <w:szCs w:val="24"/>
        </w:rPr>
        <w:t>ountry where the ultimate parent company is registered</w:t>
      </w:r>
      <w:r>
        <w:rPr>
          <w:szCs w:val="24"/>
        </w:rPr>
        <w:t>. See Section 5.4.2.1. (f) of the present document.</w:t>
      </w:r>
    </w:p>
  </w:footnote>
  <w:footnote w:id="30">
    <w:p w14:paraId="5F8310B0" w14:textId="5656422B" w:rsidR="000331DB" w:rsidRPr="00E6306E" w:rsidRDefault="000331DB">
      <w:pPr>
        <w:pStyle w:val="FootnoteText"/>
        <w:rPr>
          <w:lang w:val="en-IE"/>
        </w:rPr>
      </w:pPr>
      <w:r>
        <w:t>(</w:t>
      </w:r>
      <w:r>
        <w:rPr>
          <w:rStyle w:val="FootnoteReference"/>
        </w:rPr>
        <w:footnoteRef/>
      </w:r>
      <w:r>
        <w:t>)</w:t>
      </w:r>
      <w:r>
        <w:tab/>
      </w:r>
      <w:r w:rsidR="00A97D4D">
        <w:t xml:space="preserve">Ursula von der Leyen, </w:t>
      </w:r>
      <w:hyperlink r:id="rId17" w:history="1">
        <w:r w:rsidR="00A97D4D" w:rsidRPr="00E631AE">
          <w:rPr>
            <w:rStyle w:val="Hyperlink"/>
          </w:rPr>
          <w:t>Political Guidelines For The Next European Commission 2024−2029</w:t>
        </w:r>
      </w:hyperlink>
      <w:r w:rsidR="00A97D4D">
        <w:t xml:space="preserve">. Communication from the Commission – </w:t>
      </w:r>
      <w:hyperlink r:id="rId18" w:history="1">
        <w:r w:rsidR="00A97D4D" w:rsidRPr="00E631AE">
          <w:rPr>
            <w:rStyle w:val="Hyperlink"/>
          </w:rPr>
          <w:t>Commission Work Programme 2025. Moving forward together: A Bolder, Simpler, Faster Union</w:t>
        </w:r>
      </w:hyperlink>
      <w:r w:rsidR="00A97D4D">
        <w:t xml:space="preserve">, </w:t>
      </w:r>
      <w:r w:rsidR="00A97D4D" w:rsidRPr="0080424E">
        <w:t>COM</w:t>
      </w:r>
      <w:r w:rsidR="00A97D4D">
        <w:t>(</w:t>
      </w:r>
      <w:r w:rsidR="00A97D4D" w:rsidRPr="0080424E">
        <w:t>2025</w:t>
      </w:r>
      <w:r w:rsidR="00A97D4D">
        <w:t xml:space="preserve">) </w:t>
      </w:r>
      <w:r w:rsidR="00A97D4D" w:rsidRPr="0080424E">
        <w:t>45 final</w:t>
      </w:r>
      <w:r w:rsidR="00A97D4D">
        <w:t>.</w:t>
      </w:r>
    </w:p>
  </w:footnote>
  <w:footnote w:id="31">
    <w:p w14:paraId="78370E10" w14:textId="34AB9110" w:rsidR="00DE6218" w:rsidRPr="00BC5794" w:rsidRDefault="00DE6218">
      <w:pPr>
        <w:pStyle w:val="FootnoteText"/>
        <w:rPr>
          <w:lang w:val="pl-PL"/>
        </w:rPr>
      </w:pPr>
      <w:r>
        <w:t>(</w:t>
      </w:r>
      <w:r>
        <w:rPr>
          <w:rStyle w:val="FootnoteReference"/>
        </w:rPr>
        <w:footnoteRef/>
      </w:r>
      <w:r>
        <w:t>)</w:t>
      </w:r>
      <w:r>
        <w:tab/>
      </w:r>
      <w:r w:rsidR="00BC5794">
        <w:t>DG GROW is currently exploring possibilities to increase transparency of proceedings for public procurement while ensuring the confidentiality of national public procurement procedures.</w:t>
      </w:r>
    </w:p>
  </w:footnote>
  <w:footnote w:id="32">
    <w:p w14:paraId="4CEBBA03" w14:textId="33C13C45" w:rsidR="002C52DF" w:rsidRPr="006419E4" w:rsidRDefault="002C52DF" w:rsidP="002C52DF">
      <w:pPr>
        <w:pStyle w:val="FootnoteText"/>
      </w:pPr>
      <w:r w:rsidRPr="006419E4">
        <w:t>(</w:t>
      </w:r>
      <w:r w:rsidRPr="006419E4">
        <w:rPr>
          <w:rStyle w:val="FootnoteReference"/>
        </w:rPr>
        <w:footnoteRef/>
      </w:r>
      <w:r w:rsidRPr="006419E4">
        <w:t>)</w:t>
      </w:r>
      <w:r w:rsidRPr="006419E4">
        <w:tab/>
      </w:r>
      <w:r w:rsidR="00A97D4D">
        <w:t xml:space="preserve">Commission Staff Working Document – </w:t>
      </w:r>
      <w:hyperlink r:id="rId19" w:history="1">
        <w:r w:rsidR="00A97D4D" w:rsidRPr="00DF44DD">
          <w:rPr>
            <w:rStyle w:val="Hyperlink"/>
          </w:rPr>
          <w:t>Initial clarifications on the application of Article 4(1), Article 6 and Article 27(1) of Regulation (EU) 2022/2560 on foreign subsidies distorting the internal market</w:t>
        </w:r>
      </w:hyperlink>
      <w:r w:rsidR="00A97D4D">
        <w:t xml:space="preserve">, </w:t>
      </w:r>
      <w:r w:rsidR="00A97D4D" w:rsidRPr="00B729AE">
        <w:t>SWD(2024) 201 final</w:t>
      </w:r>
      <w:r w:rsidR="00A97D4D">
        <w:t>.</w:t>
      </w:r>
    </w:p>
  </w:footnote>
  <w:footnote w:id="33">
    <w:p w14:paraId="286AFFE4" w14:textId="77777777" w:rsidR="00A97D4D" w:rsidRDefault="00B729AE" w:rsidP="00A97D4D">
      <w:pPr>
        <w:pStyle w:val="FootnoteText"/>
      </w:pPr>
      <w:r>
        <w:t>(</w:t>
      </w:r>
      <w:r>
        <w:rPr>
          <w:rStyle w:val="FootnoteReference"/>
        </w:rPr>
        <w:footnoteRef/>
      </w:r>
      <w:r>
        <w:t>)</w:t>
      </w:r>
      <w:r>
        <w:tab/>
      </w:r>
      <w:r w:rsidR="00A97D4D">
        <w:t xml:space="preserve">DG COMP website – </w:t>
      </w:r>
      <w:hyperlink r:id="rId20" w:history="1">
        <w:r w:rsidR="00A97D4D" w:rsidRPr="00CC799E">
          <w:rPr>
            <w:rStyle w:val="Hyperlink"/>
          </w:rPr>
          <w:t>FSR Q&amp;As</w:t>
        </w:r>
      </w:hyperlink>
      <w:r w:rsidR="00A97D4D">
        <w:t>.</w:t>
      </w:r>
    </w:p>
    <w:p w14:paraId="4CA942DC" w14:textId="39530A2C" w:rsidR="00B729AE" w:rsidRPr="00B729AE" w:rsidRDefault="00A97D4D" w:rsidP="005F1BD2">
      <w:pPr>
        <w:pStyle w:val="FootnoteText"/>
        <w:ind w:firstLine="0"/>
      </w:pPr>
      <w:r>
        <w:t xml:space="preserve">DG GROW website – </w:t>
      </w:r>
      <w:hyperlink r:id="rId21" w:history="1">
        <w:r w:rsidRPr="00CC799E">
          <w:rPr>
            <w:rStyle w:val="Hyperlink"/>
          </w:rPr>
          <w:t>FSR Q&amp;As</w:t>
        </w:r>
      </w:hyperlink>
      <w:r>
        <w:t>.</w:t>
      </w:r>
    </w:p>
  </w:footnote>
  <w:footnote w:id="34">
    <w:p w14:paraId="5969EA52" w14:textId="324B9BF3" w:rsidR="00B729AE" w:rsidRPr="00E6306E" w:rsidRDefault="00B729AE">
      <w:pPr>
        <w:pStyle w:val="FootnoteText"/>
        <w:rPr>
          <w:lang w:val="en-IE"/>
        </w:rPr>
      </w:pPr>
      <w:r>
        <w:t>(</w:t>
      </w:r>
      <w:r>
        <w:rPr>
          <w:rStyle w:val="FootnoteReference"/>
        </w:rPr>
        <w:footnoteRef/>
      </w:r>
      <w:r>
        <w:t>)</w:t>
      </w:r>
      <w:r>
        <w:tab/>
      </w:r>
      <w:r w:rsidR="00A97D4D">
        <w:t xml:space="preserve">Competition FSR brief (Issue 1, February 2024) – </w:t>
      </w:r>
      <w:hyperlink r:id="rId22" w:history="1">
        <w:r w:rsidR="00A97D4D" w:rsidRPr="00BB2878">
          <w:rPr>
            <w:rStyle w:val="Hyperlink"/>
          </w:rPr>
          <w:t>The Foreign Subsidies Regulation – 100 days since the start of the notification obligation for concentrations</w:t>
        </w:r>
      </w:hyperlink>
    </w:p>
  </w:footnote>
  <w:footnote w:id="35">
    <w:p w14:paraId="1AAF3AF8" w14:textId="11DE10D0" w:rsidR="00B729AE" w:rsidRPr="00E6306E" w:rsidRDefault="00B729AE">
      <w:pPr>
        <w:pStyle w:val="FootnoteText"/>
        <w:rPr>
          <w:lang w:val="en-IE"/>
        </w:rPr>
      </w:pPr>
      <w:r>
        <w:t>(</w:t>
      </w:r>
      <w:r>
        <w:rPr>
          <w:rStyle w:val="FootnoteReference"/>
        </w:rPr>
        <w:footnoteRef/>
      </w:r>
      <w:r>
        <w:t>)</w:t>
      </w:r>
      <w:r>
        <w:tab/>
      </w:r>
      <w:r w:rsidR="00A97D4D">
        <w:t xml:space="preserve">Competition FSR brief (Issue 1, December 2025) – </w:t>
      </w:r>
      <w:hyperlink r:id="rId23" w:history="1">
        <w:r w:rsidR="00A97D4D" w:rsidRPr="00BB2878">
          <w:rPr>
            <w:rStyle w:val="Hyperlink"/>
          </w:rPr>
          <w:t>The e&amp;/PPF Telecom case – Interference on the foreign subsidies line to the EU</w:t>
        </w:r>
      </w:hyperlink>
      <w:r w:rsidR="00A97D4D">
        <w:t>.</w:t>
      </w:r>
    </w:p>
  </w:footnote>
  <w:footnote w:id="36">
    <w:p w14:paraId="7EEC0F41" w14:textId="65379054" w:rsidR="00A02515" w:rsidRPr="007348B5" w:rsidRDefault="00A02515">
      <w:pPr>
        <w:pStyle w:val="FootnoteText"/>
        <w:rPr>
          <w:lang w:val="en-IE"/>
        </w:rPr>
      </w:pPr>
      <w:r>
        <w:t>(</w:t>
      </w:r>
      <w:r>
        <w:rPr>
          <w:rStyle w:val="FootnoteReference"/>
        </w:rPr>
        <w:footnoteRef/>
      </w:r>
      <w:r>
        <w:t>)</w:t>
      </w:r>
      <w:r>
        <w:tab/>
      </w:r>
      <w:r w:rsidR="00A97D4D">
        <w:t xml:space="preserve">Communication from the Commission – </w:t>
      </w:r>
      <w:hyperlink r:id="rId24" w:history="1">
        <w:r w:rsidR="00A97D4D" w:rsidRPr="009E238F">
          <w:rPr>
            <w:rStyle w:val="Hyperlink"/>
          </w:rPr>
          <w:t>A Competitiveness Compass for the EU</w:t>
        </w:r>
      </w:hyperlink>
      <w:r w:rsidR="00A97D4D">
        <w:t>, COM(2025) 30 final.</w:t>
      </w:r>
    </w:p>
  </w:footnote>
  <w:footnote w:id="37">
    <w:p w14:paraId="54C150B0" w14:textId="7DBDCE3F" w:rsidR="00230AD6" w:rsidRPr="007348B5" w:rsidRDefault="00230AD6">
      <w:pPr>
        <w:pStyle w:val="FootnoteText"/>
        <w:rPr>
          <w:lang w:val="en-IE"/>
        </w:rPr>
      </w:pPr>
      <w:r>
        <w:t>(</w:t>
      </w:r>
      <w:r>
        <w:rPr>
          <w:rStyle w:val="FootnoteReference"/>
        </w:rPr>
        <w:footnoteRef/>
      </w:r>
      <w:r>
        <w:t>)</w:t>
      </w:r>
      <w:r>
        <w:tab/>
      </w:r>
      <w:bookmarkStart w:id="50" w:name="_Hlk228890145"/>
      <w:r>
        <w:t>This included the provision of practical information and template</w:t>
      </w:r>
      <w:r w:rsidR="00AB3599">
        <w:t>s</w:t>
      </w:r>
      <w:r>
        <w:t xml:space="preserve"> for supporting documents on the Commission’s website, the creation of a dedicated FSR Registry to handle correspondence by notifying parties, the introduction of internal procedures, aiming to ensure </w:t>
      </w:r>
      <w:bookmarkStart w:id="51" w:name="_Hlk228890109"/>
      <w:r w:rsidR="00CA19A3">
        <w:t xml:space="preserve">timely </w:t>
      </w:r>
      <w:r>
        <w:t>response to submissions</w:t>
      </w:r>
      <w:bookmarkEnd w:id="51"/>
      <w:r>
        <w:t>, and proper staffing of cases with combined legal and economic expertise</w:t>
      </w:r>
      <w:r w:rsidR="00E422C3">
        <w:t xml:space="preserve"> and exploring possibilities to increase transparency of proceedings for public procurement while ensuring the confidentiality of national public procurement procedures.</w:t>
      </w:r>
    </w:p>
    <w:bookmarkEnd w:id="50"/>
  </w:footnote>
  <w:footnote w:id="38">
    <w:p w14:paraId="6CD692A5" w14:textId="2D5AEA3F" w:rsidR="00731A2E" w:rsidRPr="00F21A0D" w:rsidRDefault="00731A2E">
      <w:pPr>
        <w:pStyle w:val="FootnoteText"/>
        <w:rPr>
          <w:lang w:val="en-IE"/>
        </w:rPr>
      </w:pPr>
      <w:r>
        <w:t>(</w:t>
      </w:r>
      <w:r>
        <w:rPr>
          <w:rStyle w:val="FootnoteReference"/>
        </w:rPr>
        <w:footnoteRef/>
      </w:r>
      <w:r>
        <w:t>)</w:t>
      </w:r>
      <w:r>
        <w:tab/>
      </w:r>
      <w:r w:rsidRPr="00731A2E">
        <w:t xml:space="preserve">This is the case in particular with </w:t>
      </w:r>
      <w:r w:rsidR="009B2CAC">
        <w:t xml:space="preserve">regards to </w:t>
      </w:r>
      <w:r w:rsidRPr="00731A2E">
        <w:t xml:space="preserve">the two </w:t>
      </w:r>
      <w:r w:rsidRPr="005F1BD2">
        <w:rPr>
          <w:i/>
          <w:iCs/>
        </w:rPr>
        <w:t>ex</w:t>
      </w:r>
      <w:r w:rsidR="0009027D" w:rsidRPr="005F1BD2">
        <w:rPr>
          <w:i/>
          <w:iCs/>
        </w:rPr>
        <w:t xml:space="preserve"> </w:t>
      </w:r>
      <w:r w:rsidRPr="005F1BD2">
        <w:rPr>
          <w:i/>
          <w:iCs/>
        </w:rPr>
        <w:t>ante</w:t>
      </w:r>
      <w:r w:rsidRPr="00731A2E">
        <w:t xml:space="preserve"> notification procedures</w:t>
      </w:r>
    </w:p>
  </w:footnote>
  <w:footnote w:id="39">
    <w:p w14:paraId="153AD6D2" w14:textId="1B385016" w:rsidR="00693E09" w:rsidRPr="0033402F" w:rsidRDefault="00693E09">
      <w:pPr>
        <w:pStyle w:val="FootnoteText"/>
        <w:rPr>
          <w:lang w:val="en-IE"/>
        </w:rPr>
      </w:pPr>
      <w:r>
        <w:t>(</w:t>
      </w:r>
      <w:r>
        <w:rPr>
          <w:rStyle w:val="FootnoteReference"/>
        </w:rPr>
        <w:footnoteRef/>
      </w:r>
      <w:r>
        <w:t>)</w:t>
      </w:r>
      <w:r>
        <w:tab/>
        <w:t xml:space="preserve">The contributions to the </w:t>
      </w:r>
      <w:r w:rsidR="0009027D">
        <w:t>c</w:t>
      </w:r>
      <w:r>
        <w:t xml:space="preserve">all for </w:t>
      </w:r>
      <w:r w:rsidR="0009027D">
        <w:t>e</w:t>
      </w:r>
      <w:r>
        <w:t xml:space="preserve">vidence are available </w:t>
      </w:r>
      <w:r w:rsidR="00A97D4D">
        <w:t xml:space="preserve">on the Commission </w:t>
      </w:r>
      <w:hyperlink r:id="rId25" w:history="1">
        <w:r w:rsidR="00A97D4D" w:rsidRPr="008321B4">
          <w:rPr>
            <w:rStyle w:val="Hyperlink"/>
          </w:rPr>
          <w:t xml:space="preserve">Have </w:t>
        </w:r>
        <w:r w:rsidR="00A97D4D">
          <w:rPr>
            <w:rStyle w:val="Hyperlink"/>
          </w:rPr>
          <w:t>y</w:t>
        </w:r>
        <w:r w:rsidR="00A97D4D" w:rsidRPr="008321B4">
          <w:rPr>
            <w:rStyle w:val="Hyperlink"/>
          </w:rPr>
          <w:t xml:space="preserve">our </w:t>
        </w:r>
        <w:r w:rsidR="00A97D4D">
          <w:rPr>
            <w:rStyle w:val="Hyperlink"/>
          </w:rPr>
          <w:t>s</w:t>
        </w:r>
        <w:r w:rsidR="00A97D4D" w:rsidRPr="008321B4">
          <w:rPr>
            <w:rStyle w:val="Hyperlink"/>
          </w:rPr>
          <w:t xml:space="preserve">ay </w:t>
        </w:r>
        <w:r w:rsidR="00A97D4D">
          <w:rPr>
            <w:rStyle w:val="Hyperlink"/>
          </w:rPr>
          <w:t>p</w:t>
        </w:r>
        <w:r w:rsidR="00A97D4D" w:rsidRPr="008321B4">
          <w:rPr>
            <w:rStyle w:val="Hyperlink"/>
          </w:rPr>
          <w:t>ortal</w:t>
        </w:r>
      </w:hyperlink>
      <w:r>
        <w:t xml:space="preserve">, along with the contributions to the public consultation and a factual summary of the replies </w:t>
      </w:r>
      <w:r w:rsidR="00A97D4D">
        <w:t>(</w:t>
      </w:r>
      <w:hyperlink r:id="rId26" w:history="1">
        <w:r w:rsidR="00A97D4D" w:rsidRPr="008321B4">
          <w:rPr>
            <w:rStyle w:val="Hyperlink"/>
          </w:rPr>
          <w:t>Have your say portal</w:t>
        </w:r>
      </w:hyperlink>
      <w:r>
        <w:t>)</w:t>
      </w:r>
      <w:r w:rsidR="00A97D4D">
        <w:t>.</w:t>
      </w:r>
    </w:p>
  </w:footnote>
  <w:footnote w:id="40">
    <w:p w14:paraId="2660FDD3" w14:textId="671A3750" w:rsidR="00E56A3A" w:rsidRPr="00EA7ECD" w:rsidRDefault="00E56A3A" w:rsidP="00EA7ECD">
      <w:pPr>
        <w:pStyle w:val="FootnoteText"/>
      </w:pPr>
      <w:r>
        <w:t>(</w:t>
      </w:r>
      <w:r>
        <w:rPr>
          <w:rStyle w:val="FootnoteReference"/>
        </w:rPr>
        <w:footnoteRef/>
      </w:r>
      <w:r>
        <w:t>)</w:t>
      </w:r>
      <w:r>
        <w:tab/>
      </w:r>
      <w:hyperlink r:id="rId27" w:history="1">
        <w:r w:rsidR="00A97D4D" w:rsidRPr="009262A4">
          <w:rPr>
            <w:rStyle w:val="Hyperlink"/>
          </w:rPr>
          <w:t>Summary Notice concerning the initiation of an in-depth investigation in case FS.100068 – NUCTECH pursuant to Article 10(3)(d) of Regulation (EU) 2022/2560</w:t>
        </w:r>
      </w:hyperlink>
      <w:r w:rsidR="00A97D4D">
        <w:t>, OJEU C/2026/545.</w:t>
      </w:r>
      <w:r w:rsidR="00EA7ECD">
        <w:t xml:space="preserve"> </w:t>
      </w:r>
    </w:p>
  </w:footnote>
  <w:footnote w:id="41">
    <w:p w14:paraId="0B435334" w14:textId="7E7EEAAB" w:rsidR="00EA7ECD" w:rsidRPr="00EA7ECD" w:rsidRDefault="00EA7ECD" w:rsidP="00EA7ECD">
      <w:pPr>
        <w:pStyle w:val="FootnoteText"/>
      </w:pPr>
      <w:r>
        <w:t>(</w:t>
      </w:r>
      <w:r>
        <w:rPr>
          <w:rStyle w:val="FootnoteReference"/>
        </w:rPr>
        <w:footnoteRef/>
      </w:r>
      <w:r>
        <w:t>)</w:t>
      </w:r>
      <w:r>
        <w:tab/>
      </w:r>
      <w:hyperlink r:id="rId28" w:history="1">
        <w:r w:rsidR="00A97D4D" w:rsidRPr="009262A4">
          <w:rPr>
            <w:rStyle w:val="Hyperlink"/>
          </w:rPr>
          <w:t>Summary Notice concerning the initiation of an in-depth investigation in case FS.100143 – Goldwind, pursuant to Article 10(3)(d) of Regulation (EU) 2022/2560</w:t>
        </w:r>
      </w:hyperlink>
      <w:r w:rsidR="00A97D4D">
        <w:t>, OJEU C/2026/1120.</w:t>
      </w:r>
      <w:r>
        <w:t xml:space="preserve"> </w:t>
      </w:r>
    </w:p>
  </w:footnote>
  <w:footnote w:id="42">
    <w:p w14:paraId="5DE89292" w14:textId="77777777" w:rsidR="0050686F" w:rsidRPr="00812A40" w:rsidRDefault="0050686F" w:rsidP="0050686F">
      <w:pPr>
        <w:pStyle w:val="FootnoteText"/>
        <w:rPr>
          <w:lang w:val="en-IE"/>
        </w:rPr>
      </w:pPr>
      <w:r>
        <w:t>(</w:t>
      </w:r>
      <w:r>
        <w:rPr>
          <w:rStyle w:val="FootnoteReference"/>
        </w:rPr>
        <w:footnoteRef/>
      </w:r>
      <w:r>
        <w:t>)</w:t>
      </w:r>
      <w:r>
        <w:tab/>
      </w:r>
      <w:r w:rsidRPr="00765FC1">
        <w:t>Case T-284/24</w:t>
      </w:r>
      <w:r>
        <w:t xml:space="preserve">, </w:t>
      </w:r>
      <w:r w:rsidRPr="00785BBB">
        <w:rPr>
          <w:i/>
          <w:iCs/>
        </w:rPr>
        <w:t>Nuctech Warsaw and Nuctech Netherlands v Commission</w:t>
      </w:r>
      <w:r w:rsidRPr="00765FC1">
        <w:t>, OJ C, C/2024/4107</w:t>
      </w:r>
      <w:r>
        <w:t>.</w:t>
      </w:r>
    </w:p>
  </w:footnote>
  <w:footnote w:id="43">
    <w:p w14:paraId="3E4BC1E2" w14:textId="77777777" w:rsidR="005B61EC" w:rsidRPr="00812A40" w:rsidRDefault="005B61EC" w:rsidP="005B61EC">
      <w:pPr>
        <w:pStyle w:val="FootnoteText"/>
        <w:rPr>
          <w:lang w:val="en-IE"/>
        </w:rPr>
      </w:pPr>
      <w:r>
        <w:t>(</w:t>
      </w:r>
      <w:r>
        <w:rPr>
          <w:rStyle w:val="FootnoteReference"/>
        </w:rPr>
        <w:footnoteRef/>
      </w:r>
      <w:r>
        <w:t>)</w:t>
      </w:r>
      <w:r>
        <w:tab/>
      </w:r>
      <w:r w:rsidRPr="00765FC1">
        <w:t xml:space="preserve">Case T-284/24 R, </w:t>
      </w:r>
      <w:r w:rsidRPr="00785BBB">
        <w:rPr>
          <w:i/>
          <w:iCs/>
        </w:rPr>
        <w:t>Nuctech Warsaw Company Limited Sp. z o.o. and Nuctech Netherlands BV v Commission</w:t>
      </w:r>
      <w:r w:rsidRPr="00765FC1">
        <w:t>, EU:T:2024:564</w:t>
      </w:r>
      <w:r>
        <w:t>.</w:t>
      </w:r>
    </w:p>
  </w:footnote>
  <w:footnote w:id="44">
    <w:p w14:paraId="7B59C294" w14:textId="77777777" w:rsidR="005B61EC" w:rsidRPr="00812A40" w:rsidRDefault="005B61EC" w:rsidP="005B61EC">
      <w:pPr>
        <w:pStyle w:val="FootnoteText"/>
        <w:rPr>
          <w:lang w:val="en-IE"/>
        </w:rPr>
      </w:pPr>
      <w:r>
        <w:t>(</w:t>
      </w:r>
      <w:r>
        <w:rPr>
          <w:rStyle w:val="FootnoteReference"/>
        </w:rPr>
        <w:footnoteRef/>
      </w:r>
      <w:r>
        <w:t>)</w:t>
      </w:r>
      <w:r>
        <w:tab/>
      </w:r>
      <w:r w:rsidRPr="00765FC1">
        <w:t>Case T-284/24 R, Order of the President of the General Court of 12 August 2024, OJ C, C/2024/5824</w:t>
      </w:r>
      <w:r>
        <w:t>.</w:t>
      </w:r>
    </w:p>
  </w:footnote>
  <w:footnote w:id="45">
    <w:p w14:paraId="3D8AB2E8" w14:textId="77777777" w:rsidR="005B61EC" w:rsidRPr="00812A40" w:rsidRDefault="005B61EC" w:rsidP="005B61EC">
      <w:pPr>
        <w:pStyle w:val="FootnoteText"/>
        <w:rPr>
          <w:lang w:val="en-IE"/>
        </w:rPr>
      </w:pPr>
      <w:r>
        <w:t>(</w:t>
      </w:r>
      <w:r>
        <w:rPr>
          <w:rStyle w:val="FootnoteReference"/>
        </w:rPr>
        <w:footnoteRef/>
      </w:r>
      <w:r>
        <w:t>)</w:t>
      </w:r>
      <w:r>
        <w:tab/>
      </w:r>
      <w:r w:rsidRPr="00765FC1">
        <w:t>Case C-720/24 P(R), Order of the Vice-President of the Court of 21 March 2025, ECLI:EU:C:2025:205</w:t>
      </w:r>
      <w:r>
        <w:t>.</w:t>
      </w:r>
    </w:p>
  </w:footnote>
  <w:footnote w:id="46">
    <w:p w14:paraId="0CFE53F6" w14:textId="77777777" w:rsidR="005B61EC" w:rsidRPr="00785BBB" w:rsidRDefault="005B61EC" w:rsidP="005B61EC">
      <w:pPr>
        <w:pStyle w:val="FootnoteText"/>
        <w:rPr>
          <w:lang w:val="en-IE"/>
        </w:rPr>
      </w:pPr>
      <w:r>
        <w:t>(</w:t>
      </w:r>
      <w:r>
        <w:rPr>
          <w:rStyle w:val="FootnoteReference"/>
        </w:rPr>
        <w:footnoteRef/>
      </w:r>
      <w:r>
        <w:t>)</w:t>
      </w:r>
      <w:r>
        <w:tab/>
      </w:r>
      <w:r w:rsidRPr="004E4CE3">
        <w:t xml:space="preserve">Case T-335/26, </w:t>
      </w:r>
      <w:r w:rsidRPr="00785BBB">
        <w:rPr>
          <w:i/>
          <w:iCs/>
        </w:rPr>
        <w:t>Goldwind Science &amp; Technology v Commission</w:t>
      </w:r>
      <w:r w:rsidRPr="004E4CE3">
        <w:t>, main proceedings, application lodged on 29 May 2026</w:t>
      </w:r>
      <w:r>
        <w:t>.</w:t>
      </w:r>
    </w:p>
  </w:footnote>
  <w:footnote w:id="47">
    <w:p w14:paraId="13E7CA81" w14:textId="77777777" w:rsidR="005B61EC" w:rsidRPr="00785BBB" w:rsidRDefault="005B61EC" w:rsidP="005B61EC">
      <w:pPr>
        <w:pStyle w:val="FootnoteText"/>
        <w:rPr>
          <w:lang w:val="en-IE"/>
        </w:rPr>
      </w:pPr>
      <w:r>
        <w:t>(</w:t>
      </w:r>
      <w:r>
        <w:rPr>
          <w:rStyle w:val="FootnoteReference"/>
        </w:rPr>
        <w:footnoteRef/>
      </w:r>
      <w:r>
        <w:t>)</w:t>
      </w:r>
      <w:r>
        <w:tab/>
      </w:r>
      <w:r w:rsidRPr="004E4CE3">
        <w:t xml:space="preserve">Case T-335/26 R, </w:t>
      </w:r>
      <w:r w:rsidRPr="00785BBB">
        <w:rPr>
          <w:i/>
          <w:iCs/>
        </w:rPr>
        <w:t>Goldwind Science &amp; Technology v Commission</w:t>
      </w:r>
      <w:r w:rsidRPr="004E4CE3">
        <w:t>, application for interim relief, lodged on 29 May 2026.</w:t>
      </w:r>
    </w:p>
  </w:footnote>
  <w:footnote w:id="48">
    <w:p w14:paraId="48A4118B" w14:textId="4B8BBB74" w:rsidR="00787161" w:rsidRPr="0033402F" w:rsidRDefault="00787161">
      <w:pPr>
        <w:pStyle w:val="FootnoteText"/>
        <w:rPr>
          <w:lang w:val="en-IE"/>
        </w:rPr>
      </w:pPr>
      <w:r>
        <w:t>(</w:t>
      </w:r>
      <w:r>
        <w:rPr>
          <w:rStyle w:val="FootnoteReference"/>
        </w:rPr>
        <w:footnoteRef/>
      </w:r>
      <w:r>
        <w:t>)</w:t>
      </w:r>
      <w:r>
        <w:tab/>
      </w:r>
      <w:hyperlink r:id="rId29" w:history="1">
        <w:r w:rsidR="00A97D4D" w:rsidRPr="00245117">
          <w:rPr>
            <w:rStyle w:val="Hyperlink"/>
          </w:rPr>
          <w:t>Commission decision of 24.9.2024 finding that, with the binding commitments, the foreign subsidies in the concentration do not distort the internal market (Case FS.100011 – e&amp;/PPF Telecom Group)</w:t>
        </w:r>
      </w:hyperlink>
      <w:r w:rsidR="00A97D4D">
        <w:t>, C(2024) 6745 final.</w:t>
      </w:r>
      <w:r>
        <w:t xml:space="preserve"> </w:t>
      </w:r>
    </w:p>
  </w:footnote>
  <w:footnote w:id="49">
    <w:p w14:paraId="32FAF679" w14:textId="72E537A2" w:rsidR="001241C4" w:rsidRPr="00E6306E" w:rsidRDefault="001241C4">
      <w:pPr>
        <w:pStyle w:val="FootnoteText"/>
        <w:rPr>
          <w:lang w:val="en-IE"/>
        </w:rPr>
      </w:pPr>
      <w:r>
        <w:t>(</w:t>
      </w:r>
      <w:r>
        <w:rPr>
          <w:rStyle w:val="FootnoteReference"/>
        </w:rPr>
        <w:footnoteRef/>
      </w:r>
      <w:r>
        <w:t>)</w:t>
      </w:r>
      <w:r>
        <w:tab/>
      </w:r>
      <w:hyperlink r:id="rId30" w:history="1">
        <w:r w:rsidR="00A97D4D" w:rsidRPr="00245117">
          <w:rPr>
            <w:rStyle w:val="Hyperlink"/>
          </w:rPr>
          <w:t>Provisional non-confidential version of Commission decision of 14.11.2025 on finding that, with the binding commitments the foreign subsidies in the concentration do not distort the internal market (Case FS.100156 – ADNOC/COVESTRO)</w:t>
        </w:r>
      </w:hyperlink>
      <w:r w:rsidR="00A97D4D">
        <w:t>, C(2025) 7800 final/2.</w:t>
      </w:r>
    </w:p>
  </w:footnote>
  <w:footnote w:id="50">
    <w:p w14:paraId="788F0C3D" w14:textId="1442BC79" w:rsidR="00E245E5" w:rsidRPr="002F2EE3" w:rsidRDefault="00E245E5" w:rsidP="00E245E5">
      <w:pPr>
        <w:pStyle w:val="FootnoteText"/>
        <w:rPr>
          <w:lang w:val="en-IE"/>
        </w:rPr>
      </w:pPr>
      <w:r>
        <w:t>(</w:t>
      </w:r>
      <w:r>
        <w:rPr>
          <w:rStyle w:val="FootnoteReference"/>
        </w:rPr>
        <w:footnoteRef/>
      </w:r>
      <w:r>
        <w:t>)</w:t>
      </w:r>
      <w:r>
        <w:tab/>
      </w:r>
      <w:r w:rsidRPr="002F2EE3">
        <w:rPr>
          <w:lang w:val="en-IE"/>
        </w:rPr>
        <w:t xml:space="preserve">With a particular focus on </w:t>
      </w:r>
      <w:r w:rsidR="00AA261D">
        <w:rPr>
          <w:lang w:val="en-IE"/>
        </w:rPr>
        <w:t xml:space="preserve">cases closed after the </w:t>
      </w:r>
      <w:r w:rsidRPr="002F2EE3">
        <w:rPr>
          <w:lang w:val="en-IE"/>
        </w:rPr>
        <w:t>p</w:t>
      </w:r>
      <w:r>
        <w:rPr>
          <w:lang w:val="en-IE"/>
        </w:rPr>
        <w:t xml:space="preserve">reliminary review </w:t>
      </w:r>
      <w:r w:rsidR="00AA261D">
        <w:rPr>
          <w:lang w:val="en-IE"/>
        </w:rPr>
        <w:t>phase.</w:t>
      </w:r>
      <w:r>
        <w:rPr>
          <w:lang w:val="en-IE"/>
        </w:rPr>
        <w:t xml:space="preserve"> The period for this more detailed part of the analysis of the Commission’s practice </w:t>
      </w:r>
      <w:r w:rsidR="00AA261D">
        <w:rPr>
          <w:lang w:val="en-IE"/>
        </w:rPr>
        <w:t>is the same for any conclusions reached in the present Section</w:t>
      </w:r>
      <w:r>
        <w:rPr>
          <w:lang w:val="en-IE"/>
        </w:rPr>
        <w:t>.</w:t>
      </w:r>
    </w:p>
  </w:footnote>
  <w:footnote w:id="51">
    <w:p w14:paraId="6DD6596C" w14:textId="690269C2" w:rsidR="00EB4144" w:rsidRPr="0033402F" w:rsidRDefault="00EB4144">
      <w:pPr>
        <w:pStyle w:val="FootnoteText"/>
        <w:rPr>
          <w:lang w:val="en-IE"/>
        </w:rPr>
      </w:pPr>
      <w:r>
        <w:t>(</w:t>
      </w:r>
      <w:r>
        <w:rPr>
          <w:rStyle w:val="FootnoteReference"/>
        </w:rPr>
        <w:footnoteRef/>
      </w:r>
      <w:r>
        <w:t>)</w:t>
      </w:r>
      <w:r>
        <w:tab/>
        <w:t xml:space="preserve">The analysis carried out in the FSR Review Study is based on </w:t>
      </w:r>
      <w:r w:rsidRPr="00FA2090">
        <w:t xml:space="preserve">a sample of cases selected to be representative, as explained in </w:t>
      </w:r>
      <w:r w:rsidRPr="0049700A">
        <w:t>Section</w:t>
      </w:r>
      <w:r w:rsidRPr="00FA2090">
        <w:t xml:space="preserve"> </w:t>
      </w:r>
      <w:r>
        <w:t>4.2</w:t>
      </w:r>
      <w:r w:rsidRPr="00FA2090">
        <w:t xml:space="preserve"> of the FSR Review Study</w:t>
      </w:r>
      <w:r>
        <w:t>.</w:t>
      </w:r>
    </w:p>
  </w:footnote>
  <w:footnote w:id="52">
    <w:p w14:paraId="7E19B6CE" w14:textId="617A0A48" w:rsidR="00EB4144" w:rsidRPr="006041B3" w:rsidRDefault="00EB4144">
      <w:pPr>
        <w:pStyle w:val="FootnoteText"/>
        <w:rPr>
          <w:lang w:val="en-IE"/>
        </w:rPr>
      </w:pPr>
      <w:r>
        <w:t>(</w:t>
      </w:r>
      <w:r>
        <w:rPr>
          <w:rStyle w:val="FootnoteReference"/>
        </w:rPr>
        <w:footnoteRef/>
      </w:r>
      <w:r>
        <w:t>)</w:t>
      </w:r>
      <w:r>
        <w:tab/>
      </w:r>
      <w:r w:rsidRPr="00EB4144">
        <w:t>This is the case specifically in the following sections</w:t>
      </w:r>
      <w:r>
        <w:t xml:space="preserve">: </w:t>
      </w:r>
      <w:r w:rsidR="000E5EAE">
        <w:t>p</w:t>
      </w:r>
      <w:r w:rsidR="00F40FA6" w:rsidRPr="00F40FA6">
        <w:t xml:space="preserve">oint e </w:t>
      </w:r>
      <w:r w:rsidR="001238DC">
        <w:t>‘</w:t>
      </w:r>
      <w:r w:rsidR="00F40FA6" w:rsidRPr="00F40FA6">
        <w:t>Concentration types</w:t>
      </w:r>
      <w:r w:rsidR="001238DC">
        <w:t>’</w:t>
      </w:r>
      <w:r w:rsidR="00F40FA6" w:rsidRPr="00F40FA6">
        <w:t xml:space="preserve"> and point i </w:t>
      </w:r>
      <w:r w:rsidR="001238DC">
        <w:t>‘</w:t>
      </w:r>
      <w:r w:rsidR="00F40FA6" w:rsidRPr="006041B3">
        <w:t>Duration of pre</w:t>
      </w:r>
      <w:r w:rsidR="00AE3002" w:rsidRPr="006041B3">
        <w:t>-</w:t>
      </w:r>
      <w:r w:rsidR="00F40FA6" w:rsidRPr="006041B3">
        <w:t>notification discussions</w:t>
      </w:r>
      <w:r w:rsidR="001238DC" w:rsidRPr="006041B3">
        <w:t>’</w:t>
      </w:r>
      <w:r w:rsidR="00F40FA6" w:rsidRPr="006041B3">
        <w:t>.</w:t>
      </w:r>
    </w:p>
  </w:footnote>
  <w:footnote w:id="53">
    <w:p w14:paraId="590D6EB1" w14:textId="1A2E49D6" w:rsidR="002F1BB5" w:rsidRPr="006041B3" w:rsidRDefault="002F1BB5">
      <w:pPr>
        <w:pStyle w:val="FootnoteText"/>
        <w:rPr>
          <w:lang w:val="en-IE"/>
        </w:rPr>
      </w:pPr>
      <w:r w:rsidRPr="006041B3">
        <w:t>(</w:t>
      </w:r>
      <w:r w:rsidRPr="006041B3">
        <w:rPr>
          <w:rStyle w:val="FootnoteReference"/>
        </w:rPr>
        <w:footnoteRef/>
      </w:r>
      <w:r w:rsidRPr="006041B3">
        <w:t>)</w:t>
      </w:r>
      <w:r w:rsidRPr="006041B3">
        <w:tab/>
        <w:t>Please see Section 4.2, page 121 of the FSR Review Study (</w:t>
      </w:r>
      <w:r w:rsidRPr="006041B3">
        <w:rPr>
          <w:b/>
        </w:rPr>
        <w:t>Annex X</w:t>
      </w:r>
      <w:r w:rsidRPr="006041B3">
        <w:t>).</w:t>
      </w:r>
    </w:p>
  </w:footnote>
  <w:footnote w:id="54">
    <w:p w14:paraId="7A06DD19" w14:textId="77777777" w:rsidR="0045392E" w:rsidRPr="0033402F" w:rsidRDefault="0045392E" w:rsidP="0045392E">
      <w:pPr>
        <w:pStyle w:val="FootnoteText"/>
        <w:rPr>
          <w:lang w:val="en-IE"/>
        </w:rPr>
      </w:pPr>
      <w:r w:rsidRPr="006041B3">
        <w:t>(</w:t>
      </w:r>
      <w:r w:rsidRPr="006041B3">
        <w:rPr>
          <w:rStyle w:val="FootnoteReference"/>
        </w:rPr>
        <w:footnoteRef/>
      </w:r>
      <w:r w:rsidRPr="006041B3">
        <w:t>)</w:t>
      </w:r>
      <w:r w:rsidRPr="006041B3">
        <w:tab/>
        <w:t>Please see Section 4.2, Table 66 of the FSR Review Study (</w:t>
      </w:r>
      <w:r w:rsidRPr="006041B3">
        <w:rPr>
          <w:b/>
        </w:rPr>
        <w:t>Annex X</w:t>
      </w:r>
      <w:r w:rsidRPr="006041B3">
        <w:t>).</w:t>
      </w:r>
    </w:p>
  </w:footnote>
  <w:footnote w:id="55">
    <w:p w14:paraId="1B6EC5A3" w14:textId="21E9489F" w:rsidR="00EB763F" w:rsidRPr="0055064F" w:rsidRDefault="00EB763F">
      <w:pPr>
        <w:pStyle w:val="FootnoteText"/>
        <w:rPr>
          <w:lang w:val="en-IE"/>
        </w:rPr>
      </w:pPr>
      <w:r>
        <w:t>(</w:t>
      </w:r>
      <w:r>
        <w:rPr>
          <w:rStyle w:val="FootnoteReference"/>
        </w:rPr>
        <w:footnoteRef/>
      </w:r>
      <w:r>
        <w:t>)</w:t>
      </w:r>
      <w:r>
        <w:tab/>
        <w:t>The analysed information on reported FFCs ha</w:t>
      </w:r>
      <w:r w:rsidR="00AC29AA">
        <w:t>s</w:t>
      </w:r>
      <w:r>
        <w:t xml:space="preserve"> been provisionally </w:t>
      </w:r>
      <w:r w:rsidR="00AC29AA">
        <w:t>compiled</w:t>
      </w:r>
      <w:r>
        <w:t xml:space="preserve"> in </w:t>
      </w:r>
      <w:r w:rsidR="00FD7867">
        <w:t xml:space="preserve">five </w:t>
      </w:r>
      <w:r>
        <w:t xml:space="preserve">broad categories (capital commitments, tax advantages, credit facilities, licence payments and R&amp;D funding) to enable a streamlined presentation. </w:t>
      </w:r>
      <w:r w:rsidR="00AC29AA">
        <w:t>This categorisation does not directly reflect all types of FFCs as self-assessed and reported by notifying parties.</w:t>
      </w:r>
    </w:p>
  </w:footnote>
  <w:footnote w:id="56">
    <w:p w14:paraId="496BB636" w14:textId="6C330E17" w:rsidR="00481484" w:rsidRPr="006041B3" w:rsidRDefault="00481484">
      <w:pPr>
        <w:pStyle w:val="FootnoteText"/>
        <w:rPr>
          <w:lang w:val="en-IE"/>
        </w:rPr>
      </w:pPr>
      <w:r>
        <w:t>(</w:t>
      </w:r>
      <w:r>
        <w:rPr>
          <w:rStyle w:val="FootnoteReference"/>
        </w:rPr>
        <w:footnoteRef/>
      </w:r>
      <w:r>
        <w:t>)</w:t>
      </w:r>
      <w:r>
        <w:tab/>
      </w:r>
      <w:r w:rsidRPr="006041B3">
        <w:t>Data from cases after mid 2025</w:t>
      </w:r>
      <w:r w:rsidR="00006AC7" w:rsidRPr="006041B3">
        <w:t>.</w:t>
      </w:r>
    </w:p>
  </w:footnote>
  <w:footnote w:id="57">
    <w:p w14:paraId="01A0DAC7" w14:textId="768B3F42" w:rsidR="007C31DD" w:rsidRDefault="007C31DD" w:rsidP="007C31DD">
      <w:pPr>
        <w:pStyle w:val="FootnoteText"/>
      </w:pPr>
      <w:r w:rsidRPr="006041B3">
        <w:t>(</w:t>
      </w:r>
      <w:r w:rsidRPr="006041B3">
        <w:rPr>
          <w:rStyle w:val="FootnoteReference"/>
        </w:rPr>
        <w:footnoteRef/>
      </w:r>
      <w:r w:rsidRPr="006041B3">
        <w:t>)</w:t>
      </w:r>
      <w:r w:rsidRPr="006041B3">
        <w:tab/>
        <w:t xml:space="preserve">While there is no legal definition of the term </w:t>
      </w:r>
      <w:r w:rsidR="001238DC" w:rsidRPr="006041B3">
        <w:t>‘</w:t>
      </w:r>
      <w:r w:rsidRPr="006041B3">
        <w:t>Limited Partners</w:t>
      </w:r>
      <w:r w:rsidR="001238DC" w:rsidRPr="006041B3">
        <w:t>’</w:t>
      </w:r>
      <w:r w:rsidRPr="006041B3">
        <w:t xml:space="preserve"> in the FSR legal framework, this term is understood</w:t>
      </w:r>
      <w:r>
        <w:t xml:space="preserve"> to mean </w:t>
      </w:r>
      <w:r w:rsidRPr="003E3536">
        <w:t>passive investor</w:t>
      </w:r>
      <w:r>
        <w:t>s</w:t>
      </w:r>
      <w:r w:rsidRPr="003E3536">
        <w:t xml:space="preserve"> who contribute capital to a partnership </w:t>
      </w:r>
      <w:r>
        <w:t xml:space="preserve">(fund) </w:t>
      </w:r>
      <w:r w:rsidRPr="003E3536">
        <w:t xml:space="preserve">but </w:t>
      </w:r>
      <w:r>
        <w:t>are</w:t>
      </w:r>
      <w:r w:rsidRPr="003E3536">
        <w:t xml:space="preserve"> strictly prohibited from participating in the management of the f</w:t>
      </w:r>
      <w:r>
        <w:t>und</w:t>
      </w:r>
      <w:r w:rsidRPr="003E3536">
        <w:t xml:space="preserve">, lest they forfeit their limited liability status. </w:t>
      </w:r>
      <w:r>
        <w:t>If justified, the Commission may request more information from the notifying party as to whether LPs</w:t>
      </w:r>
      <w:r w:rsidRPr="003E3536">
        <w:t xml:space="preserve"> </w:t>
      </w:r>
      <w:r>
        <w:t xml:space="preserve">can </w:t>
      </w:r>
      <w:r w:rsidRPr="003E3536">
        <w:t>influence the fund’s broader mandate through the </w:t>
      </w:r>
      <w:r w:rsidRPr="00E6306E">
        <w:t xml:space="preserve">Limited Partnership Agreement </w:t>
      </w:r>
      <w:r w:rsidRPr="003E3536">
        <w:t xml:space="preserve">or </w:t>
      </w:r>
      <w:r>
        <w:t xml:space="preserve">have </w:t>
      </w:r>
      <w:r w:rsidRPr="003E3536">
        <w:t>negotiate</w:t>
      </w:r>
      <w:r>
        <w:t>d</w:t>
      </w:r>
      <w:r w:rsidRPr="003E3536">
        <w:t> </w:t>
      </w:r>
      <w:r w:rsidRPr="00E6306E">
        <w:t>excusal rights</w:t>
      </w:r>
      <w:r w:rsidRPr="003E3536">
        <w:t> via side letters to avoid specific sectors.</w:t>
      </w:r>
    </w:p>
  </w:footnote>
  <w:footnote w:id="58">
    <w:p w14:paraId="696D6B4A" w14:textId="3AE629DB" w:rsidR="00D6187D" w:rsidRPr="006041B3" w:rsidRDefault="00D6187D" w:rsidP="00D6187D">
      <w:pPr>
        <w:pStyle w:val="FootnoteText"/>
        <w:rPr>
          <w:lang w:val="en-IE"/>
        </w:rPr>
      </w:pPr>
      <w:r>
        <w:t>(</w:t>
      </w:r>
      <w:r>
        <w:rPr>
          <w:rStyle w:val="FootnoteReference"/>
        </w:rPr>
        <w:footnoteRef/>
      </w:r>
      <w:r>
        <w:t>)</w:t>
      </w:r>
      <w:r>
        <w:tab/>
        <w:t xml:space="preserve">For more information, please </w:t>
      </w:r>
      <w:r w:rsidRPr="006041B3">
        <w:t>see Section 4.</w:t>
      </w:r>
      <w:r w:rsidR="00563EEA" w:rsidRPr="006041B3">
        <w:t xml:space="preserve">7.1 </w:t>
      </w:r>
      <w:r w:rsidRPr="006041B3">
        <w:t>of the FSR Review Study (</w:t>
      </w:r>
      <w:r w:rsidRPr="006041B3">
        <w:rPr>
          <w:b/>
          <w:bCs/>
        </w:rPr>
        <w:t>Annex X</w:t>
      </w:r>
      <w:r w:rsidRPr="006041B3">
        <w:t>).</w:t>
      </w:r>
    </w:p>
  </w:footnote>
  <w:footnote w:id="59">
    <w:p w14:paraId="442263D7" w14:textId="18DBC1A9" w:rsidR="002751C1" w:rsidRPr="006041B3" w:rsidRDefault="002751C1">
      <w:pPr>
        <w:pStyle w:val="FootnoteText"/>
        <w:rPr>
          <w:lang w:val="en-IE"/>
        </w:rPr>
      </w:pPr>
      <w:r w:rsidRPr="006041B3">
        <w:t>(</w:t>
      </w:r>
      <w:r w:rsidRPr="006041B3">
        <w:rPr>
          <w:rStyle w:val="FootnoteReference"/>
        </w:rPr>
        <w:footnoteRef/>
      </w:r>
      <w:r w:rsidRPr="006041B3">
        <w:t>)</w:t>
      </w:r>
      <w:r w:rsidRPr="006041B3">
        <w:tab/>
        <w:t>The data are largely consistent with those presented in the FSR Review Study</w:t>
      </w:r>
      <w:r w:rsidR="0045183C" w:rsidRPr="006041B3">
        <w:t>. Any slight differences are explained by differences in the samples on which the respective analyses are based.</w:t>
      </w:r>
      <w:r w:rsidRPr="006041B3">
        <w:t xml:space="preserve"> </w:t>
      </w:r>
      <w:r w:rsidR="0045183C" w:rsidRPr="006041B3">
        <w:t>S</w:t>
      </w:r>
      <w:r w:rsidRPr="006041B3">
        <w:t>ee Section 4.2, Table 64, of the FSR Review Study (</w:t>
      </w:r>
      <w:r w:rsidRPr="006041B3">
        <w:rPr>
          <w:b/>
        </w:rPr>
        <w:t>Annex X</w:t>
      </w:r>
      <w:r w:rsidRPr="006041B3">
        <w:t>).</w:t>
      </w:r>
    </w:p>
  </w:footnote>
  <w:footnote w:id="60">
    <w:p w14:paraId="3A2E5465" w14:textId="42D544E2" w:rsidR="00CA1188" w:rsidRPr="0033402F" w:rsidRDefault="00CA1188" w:rsidP="00CA1188">
      <w:pPr>
        <w:pStyle w:val="FootnoteText"/>
        <w:rPr>
          <w:lang w:val="en-IE"/>
        </w:rPr>
      </w:pPr>
      <w:r w:rsidRPr="006041B3">
        <w:t>(</w:t>
      </w:r>
      <w:r w:rsidRPr="006041B3">
        <w:rPr>
          <w:rStyle w:val="FootnoteReference"/>
        </w:rPr>
        <w:footnoteRef/>
      </w:r>
      <w:r w:rsidRPr="006041B3">
        <w:t>)</w:t>
      </w:r>
      <w:r w:rsidRPr="006041B3">
        <w:tab/>
        <w:t>See Section 4.2, Table 65, of the FSR Review Study (</w:t>
      </w:r>
      <w:r w:rsidRPr="006041B3">
        <w:rPr>
          <w:b/>
          <w:bCs/>
        </w:rPr>
        <w:t>Annex X</w:t>
      </w:r>
      <w:r w:rsidRPr="006041B3">
        <w:t>).</w:t>
      </w:r>
    </w:p>
  </w:footnote>
  <w:footnote w:id="61">
    <w:p w14:paraId="30E0B047" w14:textId="1A8B04E5" w:rsidR="00621A30" w:rsidRPr="006041B3" w:rsidRDefault="00621A30">
      <w:pPr>
        <w:pStyle w:val="FootnoteText"/>
        <w:rPr>
          <w:lang w:val="en-IE"/>
        </w:rPr>
      </w:pPr>
      <w:r>
        <w:t>(</w:t>
      </w:r>
      <w:r>
        <w:rPr>
          <w:rStyle w:val="FootnoteReference"/>
        </w:rPr>
        <w:footnoteRef/>
      </w:r>
      <w:r>
        <w:t>)</w:t>
      </w:r>
      <w:r>
        <w:tab/>
      </w:r>
      <w:r w:rsidRPr="006041B3">
        <w:t>See Section 4.4 of the FSR Review Study (</w:t>
      </w:r>
      <w:r w:rsidRPr="006041B3">
        <w:rPr>
          <w:b/>
        </w:rPr>
        <w:t>Annex X</w:t>
      </w:r>
      <w:r w:rsidRPr="006041B3">
        <w:t>).</w:t>
      </w:r>
    </w:p>
  </w:footnote>
  <w:footnote w:id="62">
    <w:p w14:paraId="2FDC0B11" w14:textId="5706C8AD" w:rsidR="00CD0440" w:rsidRPr="00CD0440" w:rsidRDefault="00CD0440">
      <w:pPr>
        <w:pStyle w:val="FootnoteText"/>
      </w:pPr>
      <w:r w:rsidRPr="006041B3">
        <w:t>(</w:t>
      </w:r>
      <w:r w:rsidRPr="006041B3">
        <w:rPr>
          <w:rStyle w:val="FootnoteReference"/>
        </w:rPr>
        <w:footnoteRef/>
      </w:r>
      <w:r w:rsidRPr="006041B3">
        <w:t>)</w:t>
      </w:r>
      <w:r w:rsidRPr="006041B3">
        <w:tab/>
        <w:t>The assessment included comparison with the sectors</w:t>
      </w:r>
      <w:r>
        <w:t xml:space="preserve"> identified as priority sectors in line with the broader policy objectives of the Union in </w:t>
      </w:r>
      <w:r w:rsidRPr="00CD0440">
        <w:rPr>
          <w:lang w:val="en-IE"/>
        </w:rPr>
        <w:t>Regulation (EU) 2020/852 of the European Parliament and of the Council of 18 June 2020 on the establishment of a framework to facilitate sustainable investment</w:t>
      </w:r>
      <w:r>
        <w:rPr>
          <w:lang w:val="en-IE"/>
        </w:rPr>
        <w:t xml:space="preserve">, </w:t>
      </w:r>
      <w:r w:rsidR="0062717D">
        <w:rPr>
          <w:lang w:val="en-IE"/>
        </w:rPr>
        <w:t>p</w:t>
      </w:r>
      <w:r w:rsidRPr="00CD0440">
        <w:rPr>
          <w:lang w:val="en-IE"/>
        </w:rPr>
        <w:t xml:space="preserve">roposal for a </w:t>
      </w:r>
      <w:r w:rsidR="00C85192">
        <w:rPr>
          <w:lang w:val="en-IE"/>
        </w:rPr>
        <w:t>Regulation of the European Parliament and of the Council</w:t>
      </w:r>
      <w:r w:rsidRPr="00CD0440">
        <w:rPr>
          <w:lang w:val="en-IE"/>
        </w:rPr>
        <w:t xml:space="preserve"> on the screening of foreign investments in the Union and repealing Regulation (EU) 2019/452 of the European Parliament and of the Council</w:t>
      </w:r>
      <w:r>
        <w:rPr>
          <w:lang w:val="en-IE"/>
        </w:rPr>
        <w:t xml:space="preserve">; and </w:t>
      </w:r>
      <w:r w:rsidRPr="00CD0440">
        <w:rPr>
          <w:lang w:val="en-IE"/>
        </w:rPr>
        <w:t>Regulation (EU) 2024/1735 of the European Parliament and of the Council of 13 June 2024 on establishing a framework of measures for strengthening Europe’s net-zero technology manufacturing ecosystem</w:t>
      </w:r>
    </w:p>
  </w:footnote>
  <w:footnote w:id="63">
    <w:p w14:paraId="2E0A980E" w14:textId="77D3E2E2" w:rsidR="003C1816" w:rsidRPr="00F21A0D" w:rsidRDefault="003C1816">
      <w:pPr>
        <w:pStyle w:val="FootnoteText"/>
        <w:rPr>
          <w:lang w:val="en-IE"/>
        </w:rPr>
      </w:pPr>
      <w:r>
        <w:t>(</w:t>
      </w:r>
      <w:r>
        <w:rPr>
          <w:rStyle w:val="FootnoteReference"/>
        </w:rPr>
        <w:footnoteRef/>
      </w:r>
      <w:r>
        <w:t>)</w:t>
      </w:r>
      <w:r>
        <w:tab/>
      </w:r>
      <w:r w:rsidR="002127B0">
        <w:t xml:space="preserve">This includes cases closed after the preliminary review phase, cases in which a decision to open in-depth investigation was adopted, as well as cases withdrawn after notification. Several cases were excluded, </w:t>
      </w:r>
      <w:r>
        <w:t xml:space="preserve">where the </w:t>
      </w:r>
      <w:r w:rsidR="002127B0">
        <w:t xml:space="preserve">reported </w:t>
      </w:r>
      <w:r>
        <w:t>consideration did not have a cash equivalent.</w:t>
      </w:r>
    </w:p>
  </w:footnote>
  <w:footnote w:id="64">
    <w:p w14:paraId="07617BC5" w14:textId="5F88BC4E" w:rsidR="00EA6FDA" w:rsidRPr="00750DE1" w:rsidRDefault="00EA6FDA">
      <w:pPr>
        <w:pStyle w:val="FootnoteText"/>
        <w:rPr>
          <w:lang w:val="en-IE"/>
        </w:rPr>
      </w:pPr>
      <w:r>
        <w:t>(</w:t>
      </w:r>
      <w:r>
        <w:rPr>
          <w:rStyle w:val="FootnoteReference"/>
        </w:rPr>
        <w:footnoteRef/>
      </w:r>
      <w:r>
        <w:t>)</w:t>
      </w:r>
      <w:r>
        <w:tab/>
      </w:r>
      <w:r w:rsidRPr="006041B3">
        <w:t>See Section 4.3 of the FSR Review Study (</w:t>
      </w:r>
      <w:r w:rsidRPr="006041B3">
        <w:rPr>
          <w:b/>
        </w:rPr>
        <w:t>Annex X</w:t>
      </w:r>
      <w:r w:rsidRPr="006041B3">
        <w:t>).</w:t>
      </w:r>
      <w:r>
        <w:t xml:space="preserve"> </w:t>
      </w:r>
    </w:p>
  </w:footnote>
  <w:footnote w:id="65">
    <w:p w14:paraId="25960A65" w14:textId="77777777" w:rsidR="00DB5F25" w:rsidRPr="00750DE1" w:rsidRDefault="00DB5F25" w:rsidP="00DB5F25">
      <w:pPr>
        <w:pStyle w:val="FootnoteText"/>
        <w:rPr>
          <w:lang w:val="en-IE"/>
        </w:rPr>
      </w:pPr>
      <w:r>
        <w:t>(</w:t>
      </w:r>
      <w:r>
        <w:rPr>
          <w:rStyle w:val="FootnoteReference"/>
        </w:rPr>
        <w:footnoteRef/>
      </w:r>
      <w:r>
        <w:t>)</w:t>
      </w:r>
      <w:r>
        <w:tab/>
      </w:r>
      <w:r w:rsidRPr="00071EBA">
        <w:t>Assessed on a sample of 201 cases.</w:t>
      </w:r>
    </w:p>
  </w:footnote>
  <w:footnote w:id="66">
    <w:p w14:paraId="398634BD" w14:textId="457F5C86" w:rsidR="00D655B8" w:rsidRPr="00D655B8" w:rsidRDefault="00D655B8" w:rsidP="00D655B8">
      <w:pPr>
        <w:pStyle w:val="FootnoteText"/>
      </w:pPr>
      <w:r>
        <w:t>(</w:t>
      </w:r>
      <w:r>
        <w:rPr>
          <w:rStyle w:val="FootnoteReference"/>
        </w:rPr>
        <w:footnoteRef/>
      </w:r>
      <w:r>
        <w:t>)</w:t>
      </w:r>
      <w:r>
        <w:tab/>
      </w:r>
      <w:r w:rsidRPr="00D655B8">
        <w:t>Pursuant to Article 20(3) FSR, a concentration is notifiable when two thresholds are met. The first is the turnover threshold, which is satisfied where at least one of the merging undertakings, the acquired undertaking, or the joint venture is established in the Union and generates an aggregate turnover in the Union of at least EUR 500 million.</w:t>
      </w:r>
      <w:r>
        <w:t xml:space="preserve"> The second threshold concerns FFC of more than EUR 50 million received by the parties. </w:t>
      </w:r>
    </w:p>
  </w:footnote>
  <w:footnote w:id="67">
    <w:p w14:paraId="4FAA7DAB" w14:textId="721DF317" w:rsidR="00C87A76" w:rsidRPr="00750DE1" w:rsidRDefault="00C87A76">
      <w:pPr>
        <w:pStyle w:val="FootnoteText"/>
        <w:rPr>
          <w:lang w:val="en-IE"/>
        </w:rPr>
      </w:pPr>
      <w:r>
        <w:t>(</w:t>
      </w:r>
      <w:r>
        <w:rPr>
          <w:rStyle w:val="FootnoteReference"/>
        </w:rPr>
        <w:footnoteRef/>
      </w:r>
      <w:r>
        <w:t>)</w:t>
      </w:r>
      <w:r>
        <w:tab/>
        <w:t xml:space="preserve">The estimated number of concentrations was set at 30-40 per year, whereas in reality, the Commission has received around 100 formal notification per year during the first three years since the start of the notification </w:t>
      </w:r>
      <w:r w:rsidR="00343AE8">
        <w:t>obligation in October 2023.</w:t>
      </w:r>
    </w:p>
  </w:footnote>
  <w:footnote w:id="68">
    <w:p w14:paraId="08287765" w14:textId="7B16DC91" w:rsidR="00D45424" w:rsidRPr="007348B5" w:rsidRDefault="00D45424">
      <w:pPr>
        <w:pStyle w:val="FootnoteText"/>
        <w:rPr>
          <w:lang w:val="en-IE"/>
        </w:rPr>
      </w:pPr>
      <w:r>
        <w:t>(</w:t>
      </w:r>
      <w:r>
        <w:rPr>
          <w:rStyle w:val="FootnoteReference"/>
        </w:rPr>
        <w:footnoteRef/>
      </w:r>
      <w:r>
        <w:t>)</w:t>
      </w:r>
      <w:r>
        <w:tab/>
        <w:t>The number includes cases closed after preliminary review and cases withdrawn during the preliminary review phase.</w:t>
      </w:r>
    </w:p>
  </w:footnote>
  <w:footnote w:id="69">
    <w:p w14:paraId="27A7B20F" w14:textId="3A4D7EDF" w:rsidR="006D7A8C" w:rsidRPr="00F21A0D" w:rsidRDefault="006D7A8C">
      <w:pPr>
        <w:pStyle w:val="FootnoteText"/>
        <w:rPr>
          <w:lang w:val="en-IE"/>
        </w:rPr>
      </w:pPr>
      <w:r>
        <w:t>(</w:t>
      </w:r>
      <w:r>
        <w:rPr>
          <w:rStyle w:val="FootnoteReference"/>
        </w:rPr>
        <w:footnoteRef/>
      </w:r>
      <w:r>
        <w:t>)</w:t>
      </w:r>
      <w:r>
        <w:tab/>
        <w:t xml:space="preserve">The proportion of cases found compatible in accordance with Article 6(1)(b) EUMR in the first phase of the </w:t>
      </w:r>
      <w:r w:rsidR="00F43E0F">
        <w:t>mergers</w:t>
      </w:r>
      <w:r>
        <w:t xml:space="preserve"> investigation </w:t>
      </w:r>
      <w:r w:rsidRPr="006D7A8C">
        <w:t xml:space="preserve">in the last </w:t>
      </w:r>
      <w:r w:rsidR="007345F2">
        <w:t>five</w:t>
      </w:r>
      <w:r w:rsidRPr="006D7A8C">
        <w:t xml:space="preserve"> years </w:t>
      </w:r>
      <w:r>
        <w:t>ranges between 93</w:t>
      </w:r>
      <w:r w:rsidR="00F43E0F">
        <w:t>%</w:t>
      </w:r>
      <w:r>
        <w:t xml:space="preserve"> to 99% on an annual basis according to official statistics published on the Commission’s website.</w:t>
      </w:r>
    </w:p>
  </w:footnote>
  <w:footnote w:id="70">
    <w:p w14:paraId="550C9216" w14:textId="16B3E187" w:rsidR="00C31F8E" w:rsidRPr="00990906" w:rsidRDefault="00230AD6" w:rsidP="00C31F8E">
      <w:pPr>
        <w:pStyle w:val="FootnoteText"/>
      </w:pPr>
      <w:r>
        <w:t>(</w:t>
      </w:r>
      <w:r w:rsidR="00C31F8E">
        <w:rPr>
          <w:rStyle w:val="FootnoteReference"/>
        </w:rPr>
        <w:footnoteRef/>
      </w:r>
      <w:r>
        <w:t>)</w:t>
      </w:r>
      <w:r w:rsidR="00893DCC">
        <w:tab/>
      </w:r>
      <w:r w:rsidR="00C31F8E" w:rsidRPr="0094415B">
        <w:t>With a particular focus on preliminary review cases, as there were only three in-depth investigation cases, see above. The period for this more detailed part of the analysis of the Commission’s practice will remain untouched.</w:t>
      </w:r>
    </w:p>
  </w:footnote>
  <w:footnote w:id="71">
    <w:p w14:paraId="5E4D464F" w14:textId="4A090BAD" w:rsidR="00C31F8E" w:rsidRPr="00693281" w:rsidRDefault="00230AD6" w:rsidP="00C31F8E">
      <w:pPr>
        <w:pStyle w:val="FootnoteText"/>
      </w:pPr>
      <w:r>
        <w:t>(</w:t>
      </w:r>
      <w:r w:rsidR="00C31F8E">
        <w:rPr>
          <w:rStyle w:val="FootnoteReference"/>
        </w:rPr>
        <w:footnoteRef/>
      </w:r>
      <w:r>
        <w:t>)</w:t>
      </w:r>
      <w:r w:rsidR="00893DCC">
        <w:tab/>
      </w:r>
      <w:r w:rsidR="00C31F8E" w:rsidRPr="004D6FE0">
        <w:t xml:space="preserve">The CPV </w:t>
      </w:r>
      <w:r w:rsidR="007345F2">
        <w:t>has</w:t>
      </w:r>
      <w:r w:rsidR="007345F2" w:rsidRPr="004D6FE0">
        <w:t xml:space="preserve"> </w:t>
      </w:r>
      <w:r w:rsidR="00C31F8E" w:rsidRPr="004D6FE0">
        <w:t>a single classification system for public procurement aimed at standardising the references used by contracting authorities and entities to describe the subject of procurement contracts.</w:t>
      </w:r>
      <w:r w:rsidR="00C31F8E">
        <w:t xml:space="preserve"> </w:t>
      </w:r>
      <w:r w:rsidR="00C31F8E" w:rsidRPr="00693281">
        <w:t xml:space="preserve">CPV codes consist of eight digits indicating increasing level of detail (main category (first two digits), sub-category (third digit), class (fourth digit), category (fifth digit) and specific refinements (sixth to eighth digit). </w:t>
      </w:r>
      <w:hyperlink r:id="rId31" w:history="1">
        <w:r w:rsidR="00C31F8E" w:rsidRPr="00333647">
          <w:rPr>
            <w:rStyle w:val="Hyperlink"/>
          </w:rPr>
          <w:t>CPV - Common Procurement Vocabulary - TED</w:t>
        </w:r>
      </w:hyperlink>
    </w:p>
  </w:footnote>
  <w:footnote w:id="72">
    <w:p w14:paraId="558F2941" w14:textId="5C0B3939" w:rsidR="00C31F8E" w:rsidRPr="001221D7" w:rsidRDefault="00230AD6" w:rsidP="00C31F8E">
      <w:pPr>
        <w:pStyle w:val="FootnoteText"/>
        <w:rPr>
          <w:lang w:val="en-IE"/>
        </w:rPr>
      </w:pPr>
      <w:r>
        <w:t>(</w:t>
      </w:r>
      <w:r w:rsidR="00C31F8E">
        <w:rPr>
          <w:rStyle w:val="FootnoteReference"/>
        </w:rPr>
        <w:footnoteRef/>
      </w:r>
      <w:r>
        <w:t>)</w:t>
      </w:r>
      <w:r w:rsidR="00893DCC">
        <w:tab/>
      </w:r>
      <w:r w:rsidR="00C31F8E">
        <w:rPr>
          <w:lang w:val="en-IE"/>
        </w:rPr>
        <w:t>Reference to ‘contracting authorities’ should be understood as to include both ‘contracting authorities’ and ‘contracting entities’.</w:t>
      </w:r>
    </w:p>
  </w:footnote>
  <w:footnote w:id="73">
    <w:p w14:paraId="702E734F" w14:textId="537A10B3" w:rsidR="00C31F8E" w:rsidRPr="00884E1A" w:rsidRDefault="00230AD6" w:rsidP="00C31F8E">
      <w:pPr>
        <w:pStyle w:val="FootnoteText"/>
        <w:rPr>
          <w:lang w:val="en-IE"/>
        </w:rPr>
      </w:pPr>
      <w:r>
        <w:t>(</w:t>
      </w:r>
      <w:r w:rsidR="00C31F8E">
        <w:rPr>
          <w:rStyle w:val="FootnoteReference"/>
        </w:rPr>
        <w:footnoteRef/>
      </w:r>
      <w:r>
        <w:t>)</w:t>
      </w:r>
      <w:r w:rsidR="00893DCC">
        <w:tab/>
      </w:r>
      <w:hyperlink r:id="rId32" w:history="1">
        <w:r w:rsidR="002227A4" w:rsidRPr="002227A4">
          <w:rPr>
            <w:rStyle w:val="Hyperlink"/>
          </w:rPr>
          <w:t>TED - EU Tenders, the Supplement to the Official Journal - TED</w:t>
        </w:r>
      </w:hyperlink>
      <w:r w:rsidR="00C31F8E" w:rsidRPr="00422F67" w:rsidDel="00435C06">
        <w:rPr>
          <w:lang w:val="en-IE"/>
        </w:rPr>
        <w:t xml:space="preserve"> </w:t>
      </w:r>
    </w:p>
  </w:footnote>
  <w:footnote w:id="74">
    <w:p w14:paraId="72A3198D" w14:textId="3B9D90D6" w:rsidR="00B25846" w:rsidRPr="008A3E77" w:rsidRDefault="00B25846">
      <w:pPr>
        <w:pStyle w:val="FootnoteText"/>
        <w:rPr>
          <w:lang w:val="pl-PL"/>
        </w:rPr>
      </w:pPr>
      <w:r w:rsidRPr="005050D9">
        <w:t>(</w:t>
      </w:r>
      <w:r w:rsidRPr="005050D9">
        <w:rPr>
          <w:rStyle w:val="FootnoteReference"/>
        </w:rPr>
        <w:footnoteRef/>
      </w:r>
      <w:r w:rsidRPr="005050D9">
        <w:t>)</w:t>
      </w:r>
      <w:r w:rsidRPr="005050D9">
        <w:tab/>
      </w:r>
      <w:r w:rsidR="005050D9" w:rsidRPr="005050D9">
        <w:t xml:space="preserve">This number includes procurements divided into lots, where the estimated contract value net of VAT exceeded EUR 250 million and the value of the lot or the aggregate value of all the lots to which the tenderer applied </w:t>
      </w:r>
      <w:r w:rsidR="005050D9">
        <w:t>was</w:t>
      </w:r>
      <w:r w:rsidR="005050D9" w:rsidRPr="005050D9">
        <w:t xml:space="preserve"> equal or greater than EUR 125 million, in accordance with Article 28(2) FSR. </w:t>
      </w:r>
    </w:p>
  </w:footnote>
  <w:footnote w:id="75">
    <w:p w14:paraId="410A8F97" w14:textId="26CA3417" w:rsidR="00C31F8E" w:rsidRPr="00346CCE" w:rsidRDefault="00230AD6" w:rsidP="00C31F8E">
      <w:pPr>
        <w:pStyle w:val="FootnoteText"/>
      </w:pPr>
      <w:r>
        <w:t>(</w:t>
      </w:r>
      <w:r w:rsidR="00C31F8E">
        <w:rPr>
          <w:rStyle w:val="FootnoteReference"/>
        </w:rPr>
        <w:footnoteRef/>
      </w:r>
      <w:r>
        <w:t>)</w:t>
      </w:r>
      <w:r w:rsidR="005B5811">
        <w:tab/>
      </w:r>
      <w:r w:rsidR="00C31F8E" w:rsidRPr="000F76A7">
        <w:t xml:space="preserve">TED data has been used for illustrative purposes and is not a final assessment </w:t>
      </w:r>
      <w:r w:rsidR="00C31F8E">
        <w:t>of compliance. T</w:t>
      </w:r>
      <w:r w:rsidR="00C31F8E" w:rsidRPr="000F76A7">
        <w:t>he analysis represents an approximati</w:t>
      </w:r>
      <w:r w:rsidR="00C31F8E">
        <w:t>on</w:t>
      </w:r>
      <w:r w:rsidR="00C31F8E" w:rsidRPr="000F76A7">
        <w:t xml:space="preserve">. The TED data used </w:t>
      </w:r>
      <w:r w:rsidR="007345F2">
        <w:t>was</w:t>
      </w:r>
      <w:r w:rsidR="007345F2" w:rsidRPr="000F76A7">
        <w:t xml:space="preserve"> </w:t>
      </w:r>
      <w:r w:rsidR="00C31F8E" w:rsidRPr="000F76A7">
        <w:t xml:space="preserve">obtained from publicly available sources rather than official records provided by the competent national authorities. The Commission processed the data to ensure that each tender carrying several notices is counted as one (please note that the identification of a unique tender in the TED dataset does not definitively confirm a legal obligation to notify). It was not possible to account for several factors that may affect the exactness of TED data, such as (i) situations where a contracting authority did not insert an estimated contract value, (ii) situations where the contracting authority reported an individual lot’s value rather than the entire contract’s, (iii) such registrations of framework agreements or dynamic purchasing systems that reflect annual estimates rather than the contract values for the entire duration of the contract or (iv) </w:t>
      </w:r>
      <w:r w:rsidR="00C31F8E" w:rsidRPr="00E35073">
        <w:t xml:space="preserve">situations in which a tendering procedure was </w:t>
      </w:r>
      <w:r w:rsidR="00C31F8E">
        <w:t>discontinued</w:t>
      </w:r>
      <w:r w:rsidR="00C31F8E" w:rsidRPr="000F76A7">
        <w:t xml:space="preserve">. </w:t>
      </w:r>
      <w:r w:rsidR="00C31F8E">
        <w:t>The</w:t>
      </w:r>
      <w:r w:rsidR="00C31F8E" w:rsidRPr="00943C0F">
        <w:rPr>
          <w:lang w:val="en-IE"/>
        </w:rPr>
        <w:t xml:space="preserve"> </w:t>
      </w:r>
      <w:r w:rsidR="00C31F8E">
        <w:rPr>
          <w:lang w:val="en-IE"/>
        </w:rPr>
        <w:t xml:space="preserve">time difference </w:t>
      </w:r>
      <w:r w:rsidR="00C31F8E" w:rsidRPr="00943C0F">
        <w:rPr>
          <w:lang w:val="en-IE"/>
        </w:rPr>
        <w:t xml:space="preserve">between the </w:t>
      </w:r>
      <w:r w:rsidR="00C31F8E">
        <w:rPr>
          <w:lang w:val="en-IE"/>
        </w:rPr>
        <w:t xml:space="preserve">date of </w:t>
      </w:r>
      <w:r w:rsidR="00C31F8E" w:rsidRPr="00943C0F">
        <w:rPr>
          <w:lang w:val="en-IE"/>
        </w:rPr>
        <w:t xml:space="preserve">publication of a </w:t>
      </w:r>
      <w:r w:rsidR="00C31F8E">
        <w:rPr>
          <w:lang w:val="en-IE"/>
        </w:rPr>
        <w:t>c</w:t>
      </w:r>
      <w:r w:rsidR="00C31F8E" w:rsidRPr="00943C0F">
        <w:rPr>
          <w:lang w:val="en-IE"/>
        </w:rPr>
        <w:t xml:space="preserve">ontract </w:t>
      </w:r>
      <w:r w:rsidR="00C31F8E">
        <w:rPr>
          <w:lang w:val="en-IE"/>
        </w:rPr>
        <w:t>n</w:t>
      </w:r>
      <w:r w:rsidR="00C31F8E" w:rsidRPr="00943C0F">
        <w:rPr>
          <w:lang w:val="en-IE"/>
        </w:rPr>
        <w:t xml:space="preserve">otice and the </w:t>
      </w:r>
      <w:r w:rsidR="00C31F8E">
        <w:rPr>
          <w:lang w:val="en-IE"/>
        </w:rPr>
        <w:t xml:space="preserve">date of </w:t>
      </w:r>
      <w:r w:rsidR="00C31F8E" w:rsidRPr="00943C0F">
        <w:rPr>
          <w:lang w:val="en-IE"/>
        </w:rPr>
        <w:t>filing a notification</w:t>
      </w:r>
      <w:r w:rsidR="00C31F8E">
        <w:rPr>
          <w:lang w:val="en-IE"/>
        </w:rPr>
        <w:t xml:space="preserve"> may have underestimated the number of submissions compared to the number of published contract notices.</w:t>
      </w:r>
    </w:p>
  </w:footnote>
  <w:footnote w:id="76">
    <w:p w14:paraId="4D33714A" w14:textId="6243F8CB" w:rsidR="00C31F8E" w:rsidRPr="00C965ED" w:rsidRDefault="00230AD6" w:rsidP="00C31F8E">
      <w:pPr>
        <w:pStyle w:val="FootnoteText"/>
      </w:pPr>
      <w:r>
        <w:t>(</w:t>
      </w:r>
      <w:r w:rsidR="00C31F8E">
        <w:rPr>
          <w:rStyle w:val="FootnoteReference"/>
        </w:rPr>
        <w:footnoteRef/>
      </w:r>
      <w:r>
        <w:t>)</w:t>
      </w:r>
      <w:r w:rsidR="005B5811">
        <w:tab/>
      </w:r>
      <w:r w:rsidR="00C31F8E">
        <w:t xml:space="preserve">For the purposes of </w:t>
      </w:r>
      <w:r w:rsidR="00D75254" w:rsidRPr="0021088F">
        <w:t>the Report</w:t>
      </w:r>
      <w:r w:rsidR="00C31F8E">
        <w:t xml:space="preserve">, Global Ultimate Owner (GUO) - i.e. top owner worldwide – is to be understood as </w:t>
      </w:r>
      <w:r w:rsidR="00C31F8E" w:rsidRPr="009B2A76">
        <w:t xml:space="preserve">the individual or entity at the top of the corporate ownership </w:t>
      </w:r>
      <w:r w:rsidR="00C31F8E">
        <w:t xml:space="preserve">chain and represents the final point of control within a group structure. This concept is not defined under EU law and differs from that of the Ultimate Beneficial Owner (UBO) as set out in </w:t>
      </w:r>
      <w:r w:rsidR="00C31F8E" w:rsidRPr="004D318A">
        <w:t>Directive (EU) 2015/849 (4</w:t>
      </w:r>
      <w:r w:rsidR="00C31F8E">
        <w:t xml:space="preserve"> Anti</w:t>
      </w:r>
      <w:r w:rsidR="00FE5E4F">
        <w:t xml:space="preserve"> </w:t>
      </w:r>
      <w:r w:rsidR="00C31F8E">
        <w:t>Money Laundering Directive, AMLD</w:t>
      </w:r>
      <w:r w:rsidR="00C31F8E" w:rsidRPr="004D318A">
        <w:t>)</w:t>
      </w:r>
      <w:r w:rsidR="00C31F8E">
        <w:t xml:space="preserve">. </w:t>
      </w:r>
    </w:p>
  </w:footnote>
  <w:footnote w:id="77">
    <w:p w14:paraId="498E1121" w14:textId="336024C0" w:rsidR="00C31F8E" w:rsidRPr="006465A4" w:rsidRDefault="00230AD6" w:rsidP="00C31F8E">
      <w:pPr>
        <w:pStyle w:val="FootnoteText"/>
      </w:pPr>
      <w:r>
        <w:t>(</w:t>
      </w:r>
      <w:r w:rsidR="00C31F8E">
        <w:rPr>
          <w:rStyle w:val="FootnoteReference"/>
        </w:rPr>
        <w:footnoteRef/>
      </w:r>
      <w:r>
        <w:t>)</w:t>
      </w:r>
      <w:r w:rsidR="005B5811">
        <w:tab/>
      </w:r>
      <w:r w:rsidR="00C31F8E">
        <w:t>Section 2.5.1 Communication from the Commission – Guidelines on the application of certain provisions of Regulation (EU) 2022/2560 of the European Parliament and of the Council on foreign subsidies distorting the internal market, C/2026/42</w:t>
      </w:r>
      <w:r w:rsidR="006B6A30">
        <w:t>.</w:t>
      </w:r>
      <w:r w:rsidR="00C31F8E">
        <w:t xml:space="preserve"> </w:t>
      </w:r>
    </w:p>
  </w:footnote>
  <w:footnote w:id="78">
    <w:p w14:paraId="6A33F262" w14:textId="309887DD" w:rsidR="00C31F8E" w:rsidRPr="000E2C13" w:rsidRDefault="00230AD6" w:rsidP="00C31F8E">
      <w:pPr>
        <w:pStyle w:val="FootnoteText"/>
      </w:pPr>
      <w:r>
        <w:t>(</w:t>
      </w:r>
      <w:r w:rsidR="00C31F8E">
        <w:rPr>
          <w:rStyle w:val="FootnoteReference"/>
        </w:rPr>
        <w:footnoteRef/>
      </w:r>
      <w:r>
        <w:t>)</w:t>
      </w:r>
      <w:r w:rsidR="005B5811">
        <w:tab/>
      </w:r>
      <w:r w:rsidR="00C31F8E">
        <w:t xml:space="preserve">See recital 6 of the Introduction to the </w:t>
      </w:r>
      <w:r w:rsidR="00B10957">
        <w:t>Form FS-PP</w:t>
      </w:r>
      <w:r w:rsidR="00C31F8E">
        <w:t xml:space="preserve"> of FSIR</w:t>
      </w:r>
    </w:p>
  </w:footnote>
  <w:footnote w:id="79">
    <w:p w14:paraId="65E679CF" w14:textId="47B3C571" w:rsidR="00C31F8E" w:rsidRPr="009E19F2" w:rsidRDefault="00230AD6" w:rsidP="00C31F8E">
      <w:pPr>
        <w:pStyle w:val="FootnoteText"/>
        <w:rPr>
          <w:i/>
          <w:iCs/>
        </w:rPr>
      </w:pPr>
      <w:r>
        <w:t>(</w:t>
      </w:r>
      <w:r w:rsidR="00C31F8E">
        <w:rPr>
          <w:rStyle w:val="FootnoteReference"/>
        </w:rPr>
        <w:footnoteRef/>
      </w:r>
      <w:r>
        <w:t>)</w:t>
      </w:r>
      <w:r w:rsidR="005B5811">
        <w:tab/>
      </w:r>
      <w:r w:rsidR="00C31F8E">
        <w:t xml:space="preserve">According to Article 29(1) FSR, </w:t>
      </w:r>
      <w:r w:rsidR="001238DC">
        <w:t>‘</w:t>
      </w:r>
      <w:r w:rsidR="00C31F8E" w:rsidRPr="009E19F2">
        <w:rPr>
          <w:i/>
          <w:iCs/>
        </w:rPr>
        <w:t>Where the conditions for the notification of financial contributions in accordance with Article 28(1) and (2) are met, economic operators participating in a public procurement procedure, shall notify the contracting authority or contracting entity of all foreign financial contributions as defined in Article 28(1), point (b). In all other cases, economic operators shall list in a declaration all foreign financial contributions received and confirm that the foreign financial contributions received are not notifiable in accordance with Article 28(1), point (b)</w:t>
      </w:r>
      <w:r w:rsidR="001238DC">
        <w:rPr>
          <w:i/>
          <w:iCs/>
        </w:rPr>
        <w:t>’</w:t>
      </w:r>
      <w:r w:rsidR="00C31F8E" w:rsidRPr="009E19F2">
        <w:rPr>
          <w:i/>
          <w:iCs/>
        </w:rPr>
        <w:t xml:space="preserve">. </w:t>
      </w:r>
    </w:p>
  </w:footnote>
  <w:footnote w:id="80">
    <w:p w14:paraId="55DBDCBB" w14:textId="6249DA59" w:rsidR="00C31F8E" w:rsidRPr="00C037BF" w:rsidRDefault="00230AD6" w:rsidP="00C31F8E">
      <w:pPr>
        <w:pStyle w:val="FootnoteText"/>
      </w:pPr>
      <w:r>
        <w:t>(</w:t>
      </w:r>
      <w:r w:rsidR="00C31F8E">
        <w:rPr>
          <w:rStyle w:val="FootnoteReference"/>
        </w:rPr>
        <w:footnoteRef/>
      </w:r>
      <w:r>
        <w:t>)</w:t>
      </w:r>
      <w:r w:rsidR="005B5811">
        <w:tab/>
      </w:r>
      <w:r w:rsidR="00C31F8E">
        <w:t xml:space="preserve">Table 1 of the </w:t>
      </w:r>
      <w:r w:rsidR="00B10957">
        <w:t>Form FS-PP</w:t>
      </w:r>
      <w:r w:rsidR="00C31F8E">
        <w:t xml:space="preserve"> requires economic operators to list the FFCs using the </w:t>
      </w:r>
      <w:r w:rsidR="00C31F8E" w:rsidRPr="005F7D52">
        <w:t>following ranges: ‘</w:t>
      </w:r>
      <w:r w:rsidR="00C31F8E" w:rsidRPr="005F7D52">
        <w:rPr>
          <w:i/>
          <w:iCs/>
        </w:rPr>
        <w:t xml:space="preserve">EUR 45-100 </w:t>
      </w:r>
      <w:r w:rsidR="00CC19D6" w:rsidRPr="005F7D52">
        <w:rPr>
          <w:i/>
          <w:iCs/>
        </w:rPr>
        <w:t>million</w:t>
      </w:r>
      <w:r w:rsidR="00CC19D6" w:rsidRPr="005F7D52">
        <w:t>’</w:t>
      </w:r>
      <w:r w:rsidR="00C31F8E" w:rsidRPr="005F7D52">
        <w:t>, ‘ </w:t>
      </w:r>
      <w:r w:rsidR="00C31F8E" w:rsidRPr="005F7D52">
        <w:rPr>
          <w:i/>
          <w:iCs/>
        </w:rPr>
        <w:t>EUR &gt; 100-500 million</w:t>
      </w:r>
      <w:r w:rsidR="00C31F8E" w:rsidRPr="005F7D52">
        <w:t> ’, ‘ </w:t>
      </w:r>
      <w:r w:rsidR="00C31F8E" w:rsidRPr="005F7D52">
        <w:rPr>
          <w:i/>
          <w:iCs/>
        </w:rPr>
        <w:t>EUR &gt; 500-1 000 million</w:t>
      </w:r>
      <w:r w:rsidR="00C31F8E" w:rsidRPr="005F7D52">
        <w:t> ’, ‘ </w:t>
      </w:r>
      <w:r w:rsidR="00C31F8E" w:rsidRPr="005F7D52">
        <w:rPr>
          <w:i/>
          <w:iCs/>
        </w:rPr>
        <w:t>more than EUR 1 000 million</w:t>
      </w:r>
      <w:r w:rsidR="00C31F8E">
        <w:rPr>
          <w:i/>
          <w:iCs/>
        </w:rPr>
        <w:t xml:space="preserve">. </w:t>
      </w:r>
    </w:p>
  </w:footnote>
  <w:footnote w:id="81">
    <w:p w14:paraId="6EAFC64D" w14:textId="4D04ED37" w:rsidR="00C31F8E" w:rsidRPr="00670021" w:rsidRDefault="00230AD6" w:rsidP="00C31F8E">
      <w:pPr>
        <w:pStyle w:val="FootnoteText"/>
      </w:pPr>
      <w:r>
        <w:t>(</w:t>
      </w:r>
      <w:r w:rsidR="00C31F8E">
        <w:rPr>
          <w:rStyle w:val="FootnoteReference"/>
        </w:rPr>
        <w:footnoteRef/>
      </w:r>
      <w:r>
        <w:t>)</w:t>
      </w:r>
      <w:r w:rsidR="005B5811">
        <w:tab/>
      </w:r>
      <w:r w:rsidR="00C31F8E">
        <w:t>Article 5(1) FSR provides for the categories of foreign subsidies that are more likely to distort the internal market.</w:t>
      </w:r>
    </w:p>
  </w:footnote>
  <w:footnote w:id="82">
    <w:p w14:paraId="6857660A" w14:textId="464A7F51" w:rsidR="00C31F8E" w:rsidRPr="001D0180" w:rsidRDefault="00230AD6" w:rsidP="00C31F8E">
      <w:pPr>
        <w:pStyle w:val="FootnoteText"/>
      </w:pPr>
      <w:r>
        <w:t>(</w:t>
      </w:r>
      <w:r w:rsidR="00C31F8E">
        <w:rPr>
          <w:rStyle w:val="FootnoteReference"/>
        </w:rPr>
        <w:footnoteRef/>
      </w:r>
      <w:r>
        <w:t>)</w:t>
      </w:r>
      <w:r w:rsidR="00C31F8E">
        <w:t xml:space="preserve"> </w:t>
      </w:r>
      <w:r w:rsidR="00522F0B">
        <w:tab/>
      </w:r>
      <w:r w:rsidR="00C31F8E">
        <w:t xml:space="preserve">Section B (6) of </w:t>
      </w:r>
      <w:r w:rsidR="00B10957">
        <w:t>Form FS-PP</w:t>
      </w:r>
      <w:r w:rsidR="00C31F8E">
        <w:t xml:space="preserve"> provides a list of FFCs types that do not need to be included in Table 1 and are therefore exempted from the reporting obligation. </w:t>
      </w:r>
    </w:p>
  </w:footnote>
  <w:footnote w:id="83">
    <w:p w14:paraId="2EFF554D" w14:textId="33033159" w:rsidR="00C31F8E" w:rsidRPr="00615E7D" w:rsidRDefault="00230AD6" w:rsidP="00C31F8E">
      <w:pPr>
        <w:pStyle w:val="FootnoteText"/>
      </w:pPr>
      <w:r>
        <w:t>(</w:t>
      </w:r>
      <w:r w:rsidR="00C31F8E">
        <w:rPr>
          <w:rStyle w:val="FootnoteReference"/>
        </w:rPr>
        <w:footnoteRef/>
      </w:r>
      <w:r>
        <w:t>)</w:t>
      </w:r>
      <w:r w:rsidR="005B5811">
        <w:tab/>
      </w:r>
      <w:r w:rsidR="004C66F7">
        <w:t xml:space="preserve">DG GROW website – </w:t>
      </w:r>
      <w:hyperlink r:id="rId33" w:history="1">
        <w:r w:rsidR="004C66F7" w:rsidRPr="00992DF1">
          <w:rPr>
            <w:rStyle w:val="Hyperlink"/>
          </w:rPr>
          <w:t>Foreign subsidies regulation</w:t>
        </w:r>
      </w:hyperlink>
      <w:r w:rsidR="004C66F7">
        <w:t>.</w:t>
      </w:r>
      <w:r w:rsidR="00C31F8E" w:rsidRPr="00615E7D">
        <w:t xml:space="preserve"> </w:t>
      </w:r>
    </w:p>
  </w:footnote>
  <w:footnote w:id="84">
    <w:p w14:paraId="1EE9DC8C" w14:textId="1C8904E4" w:rsidR="0049098E" w:rsidRPr="00227189" w:rsidRDefault="0049098E">
      <w:pPr>
        <w:pStyle w:val="FootnoteText"/>
        <w:rPr>
          <w:lang w:val="en-IE"/>
        </w:rPr>
      </w:pPr>
      <w:r>
        <w:t>(</w:t>
      </w:r>
      <w:r>
        <w:rPr>
          <w:rStyle w:val="FootnoteReference"/>
        </w:rPr>
        <w:footnoteRef/>
      </w:r>
      <w:r>
        <w:t>)</w:t>
      </w:r>
      <w:r>
        <w:tab/>
      </w:r>
      <w:r w:rsidR="004C66F7">
        <w:t xml:space="preserve">DG GROW website – </w:t>
      </w:r>
      <w:hyperlink r:id="rId34" w:history="1">
        <w:r w:rsidR="004C66F7" w:rsidRPr="0049098E">
          <w:rPr>
            <w:rStyle w:val="Hyperlink"/>
          </w:rPr>
          <w:t>Guidance for contracting authorities - Internal Market, Industry, Entrepreneurship and SMEs</w:t>
        </w:r>
      </w:hyperlink>
      <w:r w:rsidR="004C66F7">
        <w:t>.</w:t>
      </w:r>
    </w:p>
  </w:footnote>
  <w:footnote w:id="85">
    <w:p w14:paraId="11EBEA9A" w14:textId="4F8D6556" w:rsidR="0049098E" w:rsidRPr="00615E7D" w:rsidRDefault="0049098E" w:rsidP="0049098E">
      <w:pPr>
        <w:pStyle w:val="FootnoteText"/>
      </w:pPr>
      <w:r>
        <w:t>(</w:t>
      </w:r>
      <w:r>
        <w:rPr>
          <w:rStyle w:val="FootnoteReference"/>
        </w:rPr>
        <w:footnoteRef/>
      </w:r>
      <w:r>
        <w:t>)</w:t>
      </w:r>
      <w:r>
        <w:tab/>
      </w:r>
      <w:r w:rsidR="004C66F7">
        <w:t xml:space="preserve">DG GROW website – </w:t>
      </w:r>
      <w:hyperlink r:id="rId35" w:anchor="use-of-the-fs-pp-form-template" w:history="1">
        <w:r w:rsidR="004C66F7" w:rsidRPr="00461D26">
          <w:rPr>
            <w:rStyle w:val="Hyperlink"/>
          </w:rPr>
          <w:t>Guidance for economic operators - Internal Market, Industry, Entrepreneurship and SMEs</w:t>
        </w:r>
      </w:hyperlink>
      <w:r w:rsidR="004C66F7">
        <w:t>.</w:t>
      </w:r>
    </w:p>
  </w:footnote>
  <w:footnote w:id="86">
    <w:p w14:paraId="6422DAAC" w14:textId="7E756B28" w:rsidR="00C31F8E" w:rsidRPr="00615E7D" w:rsidRDefault="00230AD6" w:rsidP="00C31F8E">
      <w:pPr>
        <w:pStyle w:val="FootnoteText"/>
      </w:pPr>
      <w:r>
        <w:t>(</w:t>
      </w:r>
      <w:r w:rsidR="00C31F8E" w:rsidRPr="00D92C29">
        <w:rPr>
          <w:rStyle w:val="FootnoteReference"/>
        </w:rPr>
        <w:footnoteRef/>
      </w:r>
      <w:r>
        <w:t>)</w:t>
      </w:r>
      <w:r w:rsidR="005B5811">
        <w:tab/>
      </w:r>
      <w:r w:rsidR="00DB26F8">
        <w:t xml:space="preserve">European Commission’s Register of Commission Expert Groups and Other Similar Entities – </w:t>
      </w:r>
      <w:hyperlink r:id="rId36" w:history="1">
        <w:r w:rsidR="00DB26F8" w:rsidRPr="00133F01">
          <w:rPr>
            <w:rStyle w:val="Hyperlink"/>
          </w:rPr>
          <w:t>Informal Commission Expert Group on Foreign Subsidies Regulation – Public Procurement (E04021)</w:t>
        </w:r>
      </w:hyperlink>
      <w:r w:rsidR="00DB26F8">
        <w:t>.</w:t>
      </w:r>
    </w:p>
  </w:footnote>
  <w:footnote w:id="87">
    <w:p w14:paraId="00CED283" w14:textId="799CD257" w:rsidR="00AA1E9F" w:rsidRPr="00AA1E9F" w:rsidRDefault="00AA1E9F">
      <w:pPr>
        <w:pStyle w:val="FootnoteText"/>
      </w:pPr>
      <w:r>
        <w:t>(</w:t>
      </w:r>
      <w:r>
        <w:rPr>
          <w:rStyle w:val="FootnoteReference"/>
        </w:rPr>
        <w:footnoteRef/>
      </w:r>
      <w:r>
        <w:t>)</w:t>
      </w:r>
      <w:r>
        <w:tab/>
      </w:r>
      <w:r w:rsidR="00117AD5" w:rsidRPr="00E56A3A">
        <w:t>See the European Commission’s public consultation</w:t>
      </w:r>
      <w:r w:rsidR="00117AD5">
        <w:t xml:space="preserve"> on the Commission </w:t>
      </w:r>
      <w:hyperlink r:id="rId37" w:history="1">
        <w:r w:rsidR="00117AD5" w:rsidRPr="004F560C">
          <w:rPr>
            <w:rStyle w:val="Hyperlink"/>
          </w:rPr>
          <w:t>Have your say portal</w:t>
        </w:r>
      </w:hyperlink>
      <w:r w:rsidR="00117AD5">
        <w:t>.</w:t>
      </w:r>
    </w:p>
  </w:footnote>
  <w:footnote w:id="88">
    <w:p w14:paraId="38F634DD" w14:textId="345BE179" w:rsidR="00C31F8E" w:rsidRPr="00E3177C" w:rsidRDefault="00230AD6" w:rsidP="00C31F8E">
      <w:pPr>
        <w:pStyle w:val="FootnoteText"/>
      </w:pPr>
      <w:r>
        <w:t>(</w:t>
      </w:r>
      <w:r w:rsidR="00C31F8E">
        <w:rPr>
          <w:rStyle w:val="FootnoteReference"/>
        </w:rPr>
        <w:footnoteRef/>
      </w:r>
      <w:r>
        <w:t>)</w:t>
      </w:r>
      <w:r w:rsidR="005B5811">
        <w:tab/>
      </w:r>
      <w:r w:rsidR="00C31F8E">
        <w:t>The assessment pursuant to Article 3, 4 and 27 FSR did not take place in the cases that resulted in a decision declaring a tender irregular, as these cases focus on the completing of missing information on FFCs, rather than a substantive assessment of the FFCs notified.</w:t>
      </w:r>
    </w:p>
  </w:footnote>
  <w:footnote w:id="89">
    <w:p w14:paraId="13735566" w14:textId="5BF57E0D" w:rsidR="00C31F8E" w:rsidRPr="00E66383" w:rsidRDefault="00230AD6" w:rsidP="00C31F8E">
      <w:pPr>
        <w:pStyle w:val="FootnoteText"/>
      </w:pPr>
      <w:r>
        <w:t>(</w:t>
      </w:r>
      <w:r w:rsidR="00C31F8E">
        <w:rPr>
          <w:rStyle w:val="FootnoteReference"/>
        </w:rPr>
        <w:footnoteRef/>
      </w:r>
      <w:r>
        <w:t>)</w:t>
      </w:r>
      <w:r w:rsidR="005B5811">
        <w:tab/>
      </w:r>
      <w:r w:rsidR="00C31F8E" w:rsidRPr="000358A7">
        <w:t xml:space="preserve">Pursuant to Article 28(1)(b) FSR, </w:t>
      </w:r>
      <w:r w:rsidR="00C31F8E">
        <w:t xml:space="preserve">the FSR notification threshold is met when the economic operator, </w:t>
      </w:r>
      <w:r w:rsidR="00C31F8E" w:rsidRPr="00EB705F">
        <w:t>including its subsidiary companies without commercial autonomy, its holding companies, and, where applicable, its main subcontractors and suppliers involved in the same tender</w:t>
      </w:r>
      <w:r w:rsidR="00C31F8E">
        <w:t xml:space="preserve"> was granted aggregate FFCs of at least EUR 4 million per third country in the three years preceding the notification. </w:t>
      </w:r>
    </w:p>
  </w:footnote>
  <w:footnote w:id="90">
    <w:p w14:paraId="69CA4F43" w14:textId="432A720C" w:rsidR="00CC00A9" w:rsidRPr="00CC00A9" w:rsidRDefault="00CC00A9" w:rsidP="00CC00A9">
      <w:pPr>
        <w:pStyle w:val="FootnoteText"/>
        <w:rPr>
          <w:lang w:val="en-IE"/>
        </w:rPr>
      </w:pPr>
      <w:r>
        <w:t>(</w:t>
      </w:r>
      <w:r>
        <w:rPr>
          <w:rStyle w:val="FootnoteReference"/>
        </w:rPr>
        <w:footnoteRef/>
      </w:r>
      <w:r>
        <w:t>)</w:t>
      </w:r>
      <w:r>
        <w:tab/>
      </w:r>
      <w:r w:rsidRPr="00CC00A9">
        <w:t>See</w:t>
      </w:r>
      <w:r w:rsidR="00117AD5">
        <w:t xml:space="preserve"> Commission Staff Working Document – </w:t>
      </w:r>
      <w:hyperlink r:id="rId38" w:history="1">
        <w:r w:rsidR="00117AD5" w:rsidRPr="00117AD5">
          <w:rPr>
            <w:rStyle w:val="Hyperlink"/>
          </w:rPr>
          <w:t>Impact Assessment. Accompanying the Proposal for a Regulation of the European Parliament and of the Council on foreign subsidies distorting the internal market</w:t>
        </w:r>
      </w:hyperlink>
      <w:r w:rsidR="00117AD5">
        <w:t>, SWD(2021) 99 final</w:t>
      </w:r>
      <w:r w:rsidRPr="00CC00A9">
        <w:t xml:space="preserve">: indicating that </w:t>
      </w:r>
      <w:r w:rsidRPr="00CC00A9">
        <w:rPr>
          <w:lang w:val="en-IE"/>
        </w:rPr>
        <w:t xml:space="preserve">for a threshold of EUR 250 million, there may be up to 36 cases per year, for a threshold of EUR 500 million up to 13 cases. </w:t>
      </w:r>
      <w:r w:rsidRPr="00CC00A9">
        <w:t>This is due to various reasons, which include the lack of reliable data due to the shortcomings of the TED database at the time of the impact assessment, as well as several years of continuously high inflation that substantially increased the price of public projects.</w:t>
      </w:r>
    </w:p>
    <w:p w14:paraId="40E81998" w14:textId="114FB6F4" w:rsidR="00CC00A9" w:rsidRPr="00C03A47" w:rsidRDefault="00CC00A9">
      <w:pPr>
        <w:pStyle w:val="FootnoteText"/>
        <w:rPr>
          <w:lang w:val="en-IE"/>
        </w:rPr>
      </w:pPr>
    </w:p>
  </w:footnote>
  <w:footnote w:id="91">
    <w:p w14:paraId="6E10E37C" w14:textId="20F9ADFB" w:rsidR="00A87CFF" w:rsidRPr="005F1BD2" w:rsidRDefault="00A87CFF">
      <w:pPr>
        <w:pStyle w:val="FootnoteText"/>
        <w:rPr>
          <w:lang w:val="en-IE"/>
        </w:rPr>
      </w:pPr>
      <w:r>
        <w:t>(</w:t>
      </w:r>
      <w:r>
        <w:rPr>
          <w:rStyle w:val="FootnoteReference"/>
        </w:rPr>
        <w:footnoteRef/>
      </w:r>
      <w:r>
        <w:t>)</w:t>
      </w:r>
      <w:r>
        <w:tab/>
      </w:r>
      <w:r w:rsidRPr="00A87CFF">
        <w:t xml:space="preserve">OECD (2026), </w:t>
      </w:r>
      <w:hyperlink r:id="rId39" w:history="1">
        <w:r w:rsidRPr="00A87CFF">
          <w:rPr>
            <w:rStyle w:val="Hyperlink"/>
          </w:rPr>
          <w:t>OECD MAGIC Database of Industrial Subsidies</w:t>
        </w:r>
      </w:hyperlink>
      <w:r w:rsidRPr="00A87CFF">
        <w:t>, OECD Publishing, Paris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7E83D" w14:textId="77777777" w:rsidR="002214E6" w:rsidRPr="002214E6" w:rsidRDefault="002214E6" w:rsidP="002214E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895B8" w14:textId="77777777" w:rsidR="002214E6" w:rsidRPr="002214E6" w:rsidRDefault="002214E6" w:rsidP="002214E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41CBC" w14:textId="77777777" w:rsidR="002214E6" w:rsidRPr="002214E6" w:rsidRDefault="002214E6" w:rsidP="002214E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8B041" w14:textId="77777777" w:rsidR="008E336A" w:rsidRDefault="008E33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AD1DA" w14:textId="77777777" w:rsidR="008E336A" w:rsidRDefault="008E336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649AA" w14:textId="77777777" w:rsidR="008E336A" w:rsidRDefault="008E33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43DBD"/>
    <w:multiLevelType w:val="multilevel"/>
    <w:tmpl w:val="8E4EBD0A"/>
    <w:lvl w:ilvl="0">
      <w:start w:val="5"/>
      <w:numFmt w:val="decimal"/>
      <w:lvlText w:val="%1"/>
      <w:lvlJc w:val="left"/>
      <w:pPr>
        <w:ind w:left="480" w:hanging="480"/>
      </w:pPr>
      <w:rPr>
        <w:rFonts w:hint="default"/>
      </w:rPr>
    </w:lvl>
    <w:lvl w:ilvl="1">
      <w:start w:val="3"/>
      <w:numFmt w:val="decimal"/>
      <w:lvlText w:val="%1.%2"/>
      <w:lvlJc w:val="left"/>
      <w:pPr>
        <w:ind w:left="721" w:hanging="480"/>
      </w:pPr>
      <w:rPr>
        <w:rFonts w:hint="default"/>
      </w:rPr>
    </w:lvl>
    <w:lvl w:ilvl="2">
      <w:start w:val="1"/>
      <w:numFmt w:val="decimal"/>
      <w:lvlText w:val="%1.%2.%3"/>
      <w:lvlJc w:val="left"/>
      <w:pPr>
        <w:ind w:left="1202" w:hanging="720"/>
      </w:pPr>
      <w:rPr>
        <w:rFonts w:hint="default"/>
        <w:b w:val="0"/>
        <w:bCs/>
      </w:rPr>
    </w:lvl>
    <w:lvl w:ilvl="3">
      <w:start w:val="1"/>
      <w:numFmt w:val="decimal"/>
      <w:lvlText w:val="%1.%2.%3.%4"/>
      <w:lvlJc w:val="left"/>
      <w:pPr>
        <w:ind w:left="1443" w:hanging="720"/>
      </w:pPr>
      <w:rPr>
        <w:rFonts w:hint="default"/>
      </w:rPr>
    </w:lvl>
    <w:lvl w:ilvl="4">
      <w:start w:val="1"/>
      <w:numFmt w:val="decimal"/>
      <w:lvlText w:val="%1.%2.%3.%4.%5"/>
      <w:lvlJc w:val="left"/>
      <w:pPr>
        <w:ind w:left="2044" w:hanging="1080"/>
      </w:pPr>
      <w:rPr>
        <w:rFonts w:hint="default"/>
      </w:rPr>
    </w:lvl>
    <w:lvl w:ilvl="5">
      <w:start w:val="1"/>
      <w:numFmt w:val="decimal"/>
      <w:lvlText w:val="%1.%2.%3.%4.%5.%6"/>
      <w:lvlJc w:val="left"/>
      <w:pPr>
        <w:ind w:left="2285" w:hanging="1080"/>
      </w:pPr>
      <w:rPr>
        <w:rFonts w:hint="default"/>
      </w:rPr>
    </w:lvl>
    <w:lvl w:ilvl="6">
      <w:start w:val="1"/>
      <w:numFmt w:val="decimal"/>
      <w:lvlText w:val="%1.%2.%3.%4.%5.%6.%7"/>
      <w:lvlJc w:val="left"/>
      <w:pPr>
        <w:ind w:left="2886" w:hanging="1440"/>
      </w:pPr>
      <w:rPr>
        <w:rFonts w:hint="default"/>
      </w:rPr>
    </w:lvl>
    <w:lvl w:ilvl="7">
      <w:start w:val="1"/>
      <w:numFmt w:val="decimal"/>
      <w:lvlText w:val="%1.%2.%3.%4.%5.%6.%7.%8"/>
      <w:lvlJc w:val="left"/>
      <w:pPr>
        <w:ind w:left="3127" w:hanging="1440"/>
      </w:pPr>
      <w:rPr>
        <w:rFonts w:hint="default"/>
      </w:rPr>
    </w:lvl>
    <w:lvl w:ilvl="8">
      <w:start w:val="1"/>
      <w:numFmt w:val="decimal"/>
      <w:lvlText w:val="%1.%2.%3.%4.%5.%6.%7.%8.%9"/>
      <w:lvlJc w:val="left"/>
      <w:pPr>
        <w:ind w:left="3728" w:hanging="1800"/>
      </w:pPr>
      <w:rPr>
        <w:rFonts w:hint="default"/>
      </w:rPr>
    </w:lvl>
  </w:abstractNum>
  <w:abstractNum w:abstractNumId="1" w15:restartNumberingAfterBreak="0">
    <w:nsid w:val="023567FD"/>
    <w:multiLevelType w:val="hybridMultilevel"/>
    <w:tmpl w:val="4F863E94"/>
    <w:lvl w:ilvl="0" w:tplc="4EBCED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B3456"/>
    <w:multiLevelType w:val="hybridMultilevel"/>
    <w:tmpl w:val="C4B2840E"/>
    <w:lvl w:ilvl="0" w:tplc="AB709272">
      <w:numFmt w:val="bullet"/>
      <w:lvlText w:val="•"/>
      <w:lvlJc w:val="left"/>
      <w:pPr>
        <w:ind w:left="720" w:hanging="660"/>
      </w:pPr>
      <w:rPr>
        <w:rFonts w:ascii="Times New Roman" w:eastAsiaTheme="minorEastAsia" w:hAnsi="Times New Roman" w:cs="Times New Roman" w:hint="default"/>
      </w:rPr>
    </w:lvl>
    <w:lvl w:ilvl="1" w:tplc="18090003" w:tentative="1">
      <w:start w:val="1"/>
      <w:numFmt w:val="bullet"/>
      <w:lvlText w:val="o"/>
      <w:lvlJc w:val="left"/>
      <w:pPr>
        <w:ind w:left="1140" w:hanging="360"/>
      </w:pPr>
      <w:rPr>
        <w:rFonts w:ascii="Courier New" w:hAnsi="Courier New" w:cs="Courier New" w:hint="default"/>
      </w:rPr>
    </w:lvl>
    <w:lvl w:ilvl="2" w:tplc="18090005" w:tentative="1">
      <w:start w:val="1"/>
      <w:numFmt w:val="bullet"/>
      <w:lvlText w:val=""/>
      <w:lvlJc w:val="left"/>
      <w:pPr>
        <w:ind w:left="1860" w:hanging="360"/>
      </w:pPr>
      <w:rPr>
        <w:rFonts w:ascii="Wingdings" w:hAnsi="Wingdings" w:hint="default"/>
      </w:rPr>
    </w:lvl>
    <w:lvl w:ilvl="3" w:tplc="18090001" w:tentative="1">
      <w:start w:val="1"/>
      <w:numFmt w:val="bullet"/>
      <w:lvlText w:val=""/>
      <w:lvlJc w:val="left"/>
      <w:pPr>
        <w:ind w:left="2580" w:hanging="360"/>
      </w:pPr>
      <w:rPr>
        <w:rFonts w:ascii="Symbol" w:hAnsi="Symbol" w:hint="default"/>
      </w:rPr>
    </w:lvl>
    <w:lvl w:ilvl="4" w:tplc="18090003" w:tentative="1">
      <w:start w:val="1"/>
      <w:numFmt w:val="bullet"/>
      <w:lvlText w:val="o"/>
      <w:lvlJc w:val="left"/>
      <w:pPr>
        <w:ind w:left="3300" w:hanging="360"/>
      </w:pPr>
      <w:rPr>
        <w:rFonts w:ascii="Courier New" w:hAnsi="Courier New" w:cs="Courier New" w:hint="default"/>
      </w:rPr>
    </w:lvl>
    <w:lvl w:ilvl="5" w:tplc="18090005" w:tentative="1">
      <w:start w:val="1"/>
      <w:numFmt w:val="bullet"/>
      <w:lvlText w:val=""/>
      <w:lvlJc w:val="left"/>
      <w:pPr>
        <w:ind w:left="4020" w:hanging="360"/>
      </w:pPr>
      <w:rPr>
        <w:rFonts w:ascii="Wingdings" w:hAnsi="Wingdings" w:hint="default"/>
      </w:rPr>
    </w:lvl>
    <w:lvl w:ilvl="6" w:tplc="18090001" w:tentative="1">
      <w:start w:val="1"/>
      <w:numFmt w:val="bullet"/>
      <w:lvlText w:val=""/>
      <w:lvlJc w:val="left"/>
      <w:pPr>
        <w:ind w:left="4740" w:hanging="360"/>
      </w:pPr>
      <w:rPr>
        <w:rFonts w:ascii="Symbol" w:hAnsi="Symbol" w:hint="default"/>
      </w:rPr>
    </w:lvl>
    <w:lvl w:ilvl="7" w:tplc="18090003" w:tentative="1">
      <w:start w:val="1"/>
      <w:numFmt w:val="bullet"/>
      <w:lvlText w:val="o"/>
      <w:lvlJc w:val="left"/>
      <w:pPr>
        <w:ind w:left="5460" w:hanging="360"/>
      </w:pPr>
      <w:rPr>
        <w:rFonts w:ascii="Courier New" w:hAnsi="Courier New" w:cs="Courier New" w:hint="default"/>
      </w:rPr>
    </w:lvl>
    <w:lvl w:ilvl="8" w:tplc="18090005" w:tentative="1">
      <w:start w:val="1"/>
      <w:numFmt w:val="bullet"/>
      <w:lvlText w:val=""/>
      <w:lvlJc w:val="left"/>
      <w:pPr>
        <w:ind w:left="6180" w:hanging="360"/>
      </w:pPr>
      <w:rPr>
        <w:rFonts w:ascii="Wingdings" w:hAnsi="Wingdings" w:hint="default"/>
      </w:rPr>
    </w:lvl>
  </w:abstractNum>
  <w:abstractNum w:abstractNumId="3" w15:restartNumberingAfterBreak="0">
    <w:nsid w:val="042E139A"/>
    <w:multiLevelType w:val="hybridMultilevel"/>
    <w:tmpl w:val="4E100CA4"/>
    <w:lvl w:ilvl="0" w:tplc="65DC46B6">
      <w:start w:val="1"/>
      <w:numFmt w:val="lowerRoman"/>
      <w:lvlText w:val="%1)"/>
      <w:lvlJc w:val="right"/>
      <w:pPr>
        <w:ind w:left="1020" w:hanging="360"/>
      </w:pPr>
    </w:lvl>
    <w:lvl w:ilvl="1" w:tplc="0A28009A">
      <w:start w:val="1"/>
      <w:numFmt w:val="lowerRoman"/>
      <w:lvlText w:val="%2)"/>
      <w:lvlJc w:val="right"/>
      <w:pPr>
        <w:ind w:left="1020" w:hanging="360"/>
      </w:pPr>
    </w:lvl>
    <w:lvl w:ilvl="2" w:tplc="5C42AA0A">
      <w:start w:val="1"/>
      <w:numFmt w:val="lowerRoman"/>
      <w:lvlText w:val="%3)"/>
      <w:lvlJc w:val="right"/>
      <w:pPr>
        <w:ind w:left="1020" w:hanging="360"/>
      </w:pPr>
    </w:lvl>
    <w:lvl w:ilvl="3" w:tplc="D38077D4">
      <w:start w:val="1"/>
      <w:numFmt w:val="lowerRoman"/>
      <w:lvlText w:val="%4)"/>
      <w:lvlJc w:val="right"/>
      <w:pPr>
        <w:ind w:left="1020" w:hanging="360"/>
      </w:pPr>
    </w:lvl>
    <w:lvl w:ilvl="4" w:tplc="62328A58">
      <w:start w:val="1"/>
      <w:numFmt w:val="lowerRoman"/>
      <w:lvlText w:val="%5)"/>
      <w:lvlJc w:val="right"/>
      <w:pPr>
        <w:ind w:left="1020" w:hanging="360"/>
      </w:pPr>
    </w:lvl>
    <w:lvl w:ilvl="5" w:tplc="BD702516">
      <w:start w:val="1"/>
      <w:numFmt w:val="lowerRoman"/>
      <w:lvlText w:val="%6)"/>
      <w:lvlJc w:val="right"/>
      <w:pPr>
        <w:ind w:left="1020" w:hanging="360"/>
      </w:pPr>
    </w:lvl>
    <w:lvl w:ilvl="6" w:tplc="2E2E025A">
      <w:start w:val="1"/>
      <w:numFmt w:val="lowerRoman"/>
      <w:lvlText w:val="%7)"/>
      <w:lvlJc w:val="right"/>
      <w:pPr>
        <w:ind w:left="1020" w:hanging="360"/>
      </w:pPr>
    </w:lvl>
    <w:lvl w:ilvl="7" w:tplc="A9D85F76">
      <w:start w:val="1"/>
      <w:numFmt w:val="lowerRoman"/>
      <w:lvlText w:val="%8)"/>
      <w:lvlJc w:val="right"/>
      <w:pPr>
        <w:ind w:left="1020" w:hanging="360"/>
      </w:pPr>
    </w:lvl>
    <w:lvl w:ilvl="8" w:tplc="BFACDC88">
      <w:start w:val="1"/>
      <w:numFmt w:val="lowerRoman"/>
      <w:lvlText w:val="%9)"/>
      <w:lvlJc w:val="right"/>
      <w:pPr>
        <w:ind w:left="1020" w:hanging="360"/>
      </w:pPr>
    </w:lvl>
  </w:abstractNum>
  <w:abstractNum w:abstractNumId="4" w15:restartNumberingAfterBreak="0">
    <w:nsid w:val="050D63F6"/>
    <w:multiLevelType w:val="hybridMultilevel"/>
    <w:tmpl w:val="7674C152"/>
    <w:lvl w:ilvl="0" w:tplc="18090015">
      <w:start w:val="1"/>
      <w:numFmt w:val="upp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5942386"/>
    <w:multiLevelType w:val="multilevel"/>
    <w:tmpl w:val="FB7095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5983703"/>
    <w:multiLevelType w:val="hybridMultilevel"/>
    <w:tmpl w:val="70EC7246"/>
    <w:name w:val="Heading2"/>
    <w:lvl w:ilvl="0" w:tplc="4EBCEDE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6F75A17"/>
    <w:multiLevelType w:val="hybridMultilevel"/>
    <w:tmpl w:val="394097E6"/>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8F5B93"/>
    <w:multiLevelType w:val="hybridMultilevel"/>
    <w:tmpl w:val="F1A61C3C"/>
    <w:lvl w:ilvl="0" w:tplc="F5F69614">
      <w:start w:val="2"/>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D550E1"/>
    <w:multiLevelType w:val="hybridMultilevel"/>
    <w:tmpl w:val="1C7655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2900F7"/>
    <w:multiLevelType w:val="multilevel"/>
    <w:tmpl w:val="9696A77E"/>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0B5B4905"/>
    <w:multiLevelType w:val="hybridMultilevel"/>
    <w:tmpl w:val="0776A4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F10CAA"/>
    <w:multiLevelType w:val="hybridMultilevel"/>
    <w:tmpl w:val="0AB2BDC6"/>
    <w:lvl w:ilvl="0" w:tplc="F81E1F2A">
      <w:start w:val="1"/>
      <w:numFmt w:val="bullet"/>
      <w:lvlText w:val=""/>
      <w:lvlJc w:val="left"/>
      <w:pPr>
        <w:ind w:left="720" w:hanging="360"/>
      </w:pPr>
      <w:rPr>
        <w:rFonts w:ascii="Symbol" w:hAnsi="Symbol" w:hint="default"/>
      </w:rPr>
    </w:lvl>
    <w:lvl w:ilvl="1" w:tplc="03088C52">
      <w:numFmt w:val="bullet"/>
      <w:lvlText w:val="–"/>
      <w:lvlJc w:val="left"/>
      <w:pPr>
        <w:ind w:left="1440" w:hanging="360"/>
      </w:pPr>
      <w:rPr>
        <w:rFonts w:hint="default"/>
      </w:rPr>
    </w:lvl>
    <w:lvl w:ilvl="2" w:tplc="B4383E4A">
      <w:start w:val="1"/>
      <w:numFmt w:val="bullet"/>
      <w:lvlText w:val=""/>
      <w:lvlJc w:val="left"/>
      <w:pPr>
        <w:ind w:left="2160" w:hanging="360"/>
      </w:pPr>
      <w:rPr>
        <w:rFonts w:ascii="Wingdings" w:hAnsi="Wingdings" w:hint="default"/>
      </w:rPr>
    </w:lvl>
    <w:lvl w:ilvl="3" w:tplc="026C55F4">
      <w:start w:val="1"/>
      <w:numFmt w:val="bullet"/>
      <w:lvlText w:val=""/>
      <w:lvlJc w:val="left"/>
      <w:pPr>
        <w:ind w:left="2880" w:hanging="360"/>
      </w:pPr>
      <w:rPr>
        <w:rFonts w:ascii="Symbol" w:hAnsi="Symbol" w:hint="default"/>
      </w:rPr>
    </w:lvl>
    <w:lvl w:ilvl="4" w:tplc="E278C716">
      <w:start w:val="1"/>
      <w:numFmt w:val="bullet"/>
      <w:lvlText w:val="o"/>
      <w:lvlJc w:val="left"/>
      <w:pPr>
        <w:ind w:left="3600" w:hanging="360"/>
      </w:pPr>
      <w:rPr>
        <w:rFonts w:ascii="Courier New" w:hAnsi="Courier New" w:hint="default"/>
      </w:rPr>
    </w:lvl>
    <w:lvl w:ilvl="5" w:tplc="15FE0748">
      <w:start w:val="1"/>
      <w:numFmt w:val="bullet"/>
      <w:lvlText w:val=""/>
      <w:lvlJc w:val="left"/>
      <w:pPr>
        <w:ind w:left="4320" w:hanging="360"/>
      </w:pPr>
      <w:rPr>
        <w:rFonts w:ascii="Wingdings" w:hAnsi="Wingdings" w:hint="default"/>
      </w:rPr>
    </w:lvl>
    <w:lvl w:ilvl="6" w:tplc="9570963A">
      <w:start w:val="1"/>
      <w:numFmt w:val="bullet"/>
      <w:lvlText w:val=""/>
      <w:lvlJc w:val="left"/>
      <w:pPr>
        <w:ind w:left="5040" w:hanging="360"/>
      </w:pPr>
      <w:rPr>
        <w:rFonts w:ascii="Symbol" w:hAnsi="Symbol" w:hint="default"/>
      </w:rPr>
    </w:lvl>
    <w:lvl w:ilvl="7" w:tplc="C344A028">
      <w:start w:val="1"/>
      <w:numFmt w:val="bullet"/>
      <w:lvlText w:val="o"/>
      <w:lvlJc w:val="left"/>
      <w:pPr>
        <w:ind w:left="5760" w:hanging="360"/>
      </w:pPr>
      <w:rPr>
        <w:rFonts w:ascii="Courier New" w:hAnsi="Courier New" w:hint="default"/>
      </w:rPr>
    </w:lvl>
    <w:lvl w:ilvl="8" w:tplc="C8AE4392">
      <w:start w:val="1"/>
      <w:numFmt w:val="bullet"/>
      <w:lvlText w:val=""/>
      <w:lvlJc w:val="left"/>
      <w:pPr>
        <w:ind w:left="6480" w:hanging="360"/>
      </w:pPr>
      <w:rPr>
        <w:rFonts w:ascii="Wingdings" w:hAnsi="Wingdings" w:hint="default"/>
      </w:rPr>
    </w:lvl>
  </w:abstractNum>
  <w:abstractNum w:abstractNumId="13" w15:restartNumberingAfterBreak="0">
    <w:nsid w:val="0EE930B2"/>
    <w:multiLevelType w:val="hybridMultilevel"/>
    <w:tmpl w:val="7B1C3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EFB7115"/>
    <w:multiLevelType w:val="multilevel"/>
    <w:tmpl w:val="83443D76"/>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120B7201"/>
    <w:multiLevelType w:val="multilevel"/>
    <w:tmpl w:val="95DA557A"/>
    <w:lvl w:ilvl="0">
      <w:start w:val="1"/>
      <w:numFmt w:val="decimal"/>
      <w:pStyle w:val="ListNumber"/>
      <w:lvlText w:val="(%1)"/>
      <w:lvlJc w:val="left"/>
      <w:pPr>
        <w:tabs>
          <w:tab w:val="num" w:pos="709"/>
        </w:tabs>
        <w:ind w:left="709" w:hanging="709"/>
      </w:pPr>
      <w:rPr>
        <w:rFonts w:hint="default"/>
      </w:r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16" w15:restartNumberingAfterBreak="0">
    <w:nsid w:val="120B8345"/>
    <w:multiLevelType w:val="multilevel"/>
    <w:tmpl w:val="071C31C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125C09DD"/>
    <w:multiLevelType w:val="hybridMultilevel"/>
    <w:tmpl w:val="35D2211C"/>
    <w:lvl w:ilvl="0" w:tplc="88D615C4">
      <w:start w:val="1"/>
      <w:numFmt w:val="decimal"/>
      <w:lvlText w:val="(%1)"/>
      <w:lvlJc w:val="left"/>
      <w:pPr>
        <w:ind w:left="720" w:hanging="360"/>
      </w:pPr>
    </w:lvl>
    <w:lvl w:ilvl="1" w:tplc="8048D5B2">
      <w:start w:val="1"/>
      <w:numFmt w:val="lowerLetter"/>
      <w:lvlText w:val="%2."/>
      <w:lvlJc w:val="left"/>
      <w:pPr>
        <w:ind w:left="1440" w:hanging="360"/>
      </w:pPr>
    </w:lvl>
    <w:lvl w:ilvl="2" w:tplc="AC92E16A">
      <w:start w:val="1"/>
      <w:numFmt w:val="lowerRoman"/>
      <w:lvlText w:val="%3."/>
      <w:lvlJc w:val="right"/>
      <w:pPr>
        <w:ind w:left="2160" w:hanging="180"/>
      </w:pPr>
    </w:lvl>
    <w:lvl w:ilvl="3" w:tplc="48AA39DE">
      <w:start w:val="1"/>
      <w:numFmt w:val="decimal"/>
      <w:lvlText w:val="%4."/>
      <w:lvlJc w:val="left"/>
      <w:pPr>
        <w:ind w:left="2880" w:hanging="360"/>
      </w:pPr>
    </w:lvl>
    <w:lvl w:ilvl="4" w:tplc="46D01B0E">
      <w:start w:val="1"/>
      <w:numFmt w:val="lowerLetter"/>
      <w:lvlText w:val="%5."/>
      <w:lvlJc w:val="left"/>
      <w:pPr>
        <w:ind w:left="3600" w:hanging="360"/>
      </w:pPr>
    </w:lvl>
    <w:lvl w:ilvl="5" w:tplc="63841776">
      <w:start w:val="1"/>
      <w:numFmt w:val="lowerRoman"/>
      <w:lvlText w:val="%6."/>
      <w:lvlJc w:val="right"/>
      <w:pPr>
        <w:ind w:left="4320" w:hanging="180"/>
      </w:pPr>
    </w:lvl>
    <w:lvl w:ilvl="6" w:tplc="51B87D4C">
      <w:start w:val="1"/>
      <w:numFmt w:val="decimal"/>
      <w:lvlText w:val="%7."/>
      <w:lvlJc w:val="left"/>
      <w:pPr>
        <w:ind w:left="5040" w:hanging="360"/>
      </w:pPr>
    </w:lvl>
    <w:lvl w:ilvl="7" w:tplc="5C92C284">
      <w:start w:val="1"/>
      <w:numFmt w:val="lowerLetter"/>
      <w:lvlText w:val="%8."/>
      <w:lvlJc w:val="left"/>
      <w:pPr>
        <w:ind w:left="5760" w:hanging="360"/>
      </w:pPr>
    </w:lvl>
    <w:lvl w:ilvl="8" w:tplc="D15ADF78">
      <w:start w:val="1"/>
      <w:numFmt w:val="lowerRoman"/>
      <w:lvlText w:val="%9."/>
      <w:lvlJc w:val="right"/>
      <w:pPr>
        <w:ind w:left="6480" w:hanging="180"/>
      </w:pPr>
    </w:lvl>
  </w:abstractNum>
  <w:abstractNum w:abstractNumId="18" w15:restartNumberingAfterBreak="0">
    <w:nsid w:val="1262685D"/>
    <w:multiLevelType w:val="multilevel"/>
    <w:tmpl w:val="EEF6FA88"/>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128E148F"/>
    <w:multiLevelType w:val="hybridMultilevel"/>
    <w:tmpl w:val="D4C4DB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3C46C93"/>
    <w:multiLevelType w:val="multilevel"/>
    <w:tmpl w:val="33E65B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13CC3E96"/>
    <w:multiLevelType w:val="hybridMultilevel"/>
    <w:tmpl w:val="75DAB222"/>
    <w:lvl w:ilvl="0" w:tplc="4EBCED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43C7160"/>
    <w:multiLevelType w:val="multilevel"/>
    <w:tmpl w:val="FE2CA13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143D0A16"/>
    <w:multiLevelType w:val="multilevel"/>
    <w:tmpl w:val="C4FA59BC"/>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145839EE"/>
    <w:multiLevelType w:val="hybridMultilevel"/>
    <w:tmpl w:val="633C5702"/>
    <w:lvl w:ilvl="0" w:tplc="AB709272">
      <w:numFmt w:val="bullet"/>
      <w:lvlText w:val="•"/>
      <w:lvlJc w:val="left"/>
      <w:pPr>
        <w:ind w:left="780" w:hanging="660"/>
      </w:pPr>
      <w:rPr>
        <w:rFonts w:ascii="Times New Roman" w:eastAsiaTheme="minorEastAsia" w:hAnsi="Times New Roman" w:cs="Times New Roman"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25" w15:restartNumberingAfterBreak="0">
    <w:nsid w:val="15047F00"/>
    <w:multiLevelType w:val="hybridMultilevel"/>
    <w:tmpl w:val="DE08681E"/>
    <w:lvl w:ilvl="0" w:tplc="C0B43394">
      <w:numFmt w:val="none"/>
      <w:lvlText w:val=""/>
      <w:lvlJc w:val="left"/>
      <w:pPr>
        <w:tabs>
          <w:tab w:val="num" w:pos="360"/>
        </w:tabs>
      </w:pPr>
    </w:lvl>
    <w:lvl w:ilvl="1" w:tplc="1958860C">
      <w:start w:val="1"/>
      <w:numFmt w:val="lowerLetter"/>
      <w:lvlText w:val="%2."/>
      <w:lvlJc w:val="left"/>
      <w:pPr>
        <w:ind w:left="1440" w:hanging="360"/>
      </w:pPr>
    </w:lvl>
    <w:lvl w:ilvl="2" w:tplc="0A329ED2">
      <w:start w:val="1"/>
      <w:numFmt w:val="lowerRoman"/>
      <w:lvlText w:val="%3."/>
      <w:lvlJc w:val="right"/>
      <w:pPr>
        <w:ind w:left="2160" w:hanging="180"/>
      </w:pPr>
    </w:lvl>
    <w:lvl w:ilvl="3" w:tplc="49F84254">
      <w:start w:val="1"/>
      <w:numFmt w:val="decimal"/>
      <w:lvlText w:val="%4."/>
      <w:lvlJc w:val="left"/>
      <w:pPr>
        <w:ind w:left="2880" w:hanging="360"/>
      </w:pPr>
    </w:lvl>
    <w:lvl w:ilvl="4" w:tplc="0B0AD03A">
      <w:start w:val="1"/>
      <w:numFmt w:val="lowerLetter"/>
      <w:lvlText w:val="%5."/>
      <w:lvlJc w:val="left"/>
      <w:pPr>
        <w:ind w:left="3600" w:hanging="360"/>
      </w:pPr>
    </w:lvl>
    <w:lvl w:ilvl="5" w:tplc="FBAEE9CE">
      <w:start w:val="1"/>
      <w:numFmt w:val="lowerRoman"/>
      <w:lvlText w:val="%6."/>
      <w:lvlJc w:val="right"/>
      <w:pPr>
        <w:ind w:left="4320" w:hanging="180"/>
      </w:pPr>
    </w:lvl>
    <w:lvl w:ilvl="6" w:tplc="163E9B94">
      <w:start w:val="1"/>
      <w:numFmt w:val="decimal"/>
      <w:lvlText w:val="%7."/>
      <w:lvlJc w:val="left"/>
      <w:pPr>
        <w:ind w:left="5040" w:hanging="360"/>
      </w:pPr>
    </w:lvl>
    <w:lvl w:ilvl="7" w:tplc="F2509B80">
      <w:start w:val="1"/>
      <w:numFmt w:val="lowerLetter"/>
      <w:lvlText w:val="%8."/>
      <w:lvlJc w:val="left"/>
      <w:pPr>
        <w:ind w:left="5760" w:hanging="360"/>
      </w:pPr>
    </w:lvl>
    <w:lvl w:ilvl="8" w:tplc="2D6A9C00">
      <w:start w:val="1"/>
      <w:numFmt w:val="lowerRoman"/>
      <w:lvlText w:val="%9."/>
      <w:lvlJc w:val="right"/>
      <w:pPr>
        <w:ind w:left="6480" w:hanging="180"/>
      </w:pPr>
    </w:lvl>
  </w:abstractNum>
  <w:abstractNum w:abstractNumId="26" w15:restartNumberingAfterBreak="0">
    <w:nsid w:val="151334A2"/>
    <w:multiLevelType w:val="multilevel"/>
    <w:tmpl w:val="BC409B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15423BD0"/>
    <w:multiLevelType w:val="multilevel"/>
    <w:tmpl w:val="A7864C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1578573D"/>
    <w:multiLevelType w:val="hybridMultilevel"/>
    <w:tmpl w:val="4538F8E8"/>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671876"/>
    <w:multiLevelType w:val="hybridMultilevel"/>
    <w:tmpl w:val="300C8D80"/>
    <w:lvl w:ilvl="0" w:tplc="898E7EFC">
      <w:start w:val="1"/>
      <w:numFmt w:val="lowerLetter"/>
      <w:lvlText w:val="%1)"/>
      <w:lvlJc w:val="left"/>
      <w:pPr>
        <w:ind w:left="1562" w:hanging="360"/>
      </w:pPr>
      <w:rPr>
        <w:rFonts w:hint="default"/>
      </w:rPr>
    </w:lvl>
    <w:lvl w:ilvl="1" w:tplc="18090019">
      <w:start w:val="1"/>
      <w:numFmt w:val="lowerLetter"/>
      <w:lvlText w:val="%2."/>
      <w:lvlJc w:val="left"/>
      <w:pPr>
        <w:ind w:left="2282" w:hanging="360"/>
      </w:pPr>
    </w:lvl>
    <w:lvl w:ilvl="2" w:tplc="1809001B" w:tentative="1">
      <w:start w:val="1"/>
      <w:numFmt w:val="lowerRoman"/>
      <w:lvlText w:val="%3."/>
      <w:lvlJc w:val="right"/>
      <w:pPr>
        <w:ind w:left="3002" w:hanging="180"/>
      </w:pPr>
    </w:lvl>
    <w:lvl w:ilvl="3" w:tplc="1809000F" w:tentative="1">
      <w:start w:val="1"/>
      <w:numFmt w:val="decimal"/>
      <w:lvlText w:val="%4."/>
      <w:lvlJc w:val="left"/>
      <w:pPr>
        <w:ind w:left="3722" w:hanging="360"/>
      </w:pPr>
    </w:lvl>
    <w:lvl w:ilvl="4" w:tplc="18090019" w:tentative="1">
      <w:start w:val="1"/>
      <w:numFmt w:val="lowerLetter"/>
      <w:lvlText w:val="%5."/>
      <w:lvlJc w:val="left"/>
      <w:pPr>
        <w:ind w:left="4442" w:hanging="360"/>
      </w:pPr>
    </w:lvl>
    <w:lvl w:ilvl="5" w:tplc="1809001B" w:tentative="1">
      <w:start w:val="1"/>
      <w:numFmt w:val="lowerRoman"/>
      <w:lvlText w:val="%6."/>
      <w:lvlJc w:val="right"/>
      <w:pPr>
        <w:ind w:left="5162" w:hanging="180"/>
      </w:pPr>
    </w:lvl>
    <w:lvl w:ilvl="6" w:tplc="1809000F" w:tentative="1">
      <w:start w:val="1"/>
      <w:numFmt w:val="decimal"/>
      <w:lvlText w:val="%7."/>
      <w:lvlJc w:val="left"/>
      <w:pPr>
        <w:ind w:left="5882" w:hanging="360"/>
      </w:pPr>
    </w:lvl>
    <w:lvl w:ilvl="7" w:tplc="18090019" w:tentative="1">
      <w:start w:val="1"/>
      <w:numFmt w:val="lowerLetter"/>
      <w:lvlText w:val="%8."/>
      <w:lvlJc w:val="left"/>
      <w:pPr>
        <w:ind w:left="6602" w:hanging="360"/>
      </w:pPr>
    </w:lvl>
    <w:lvl w:ilvl="8" w:tplc="1809001B" w:tentative="1">
      <w:start w:val="1"/>
      <w:numFmt w:val="lowerRoman"/>
      <w:lvlText w:val="%9."/>
      <w:lvlJc w:val="right"/>
      <w:pPr>
        <w:ind w:left="7322" w:hanging="180"/>
      </w:pPr>
    </w:lvl>
  </w:abstractNum>
  <w:abstractNum w:abstractNumId="30" w15:restartNumberingAfterBreak="0">
    <w:nsid w:val="17252BC5"/>
    <w:multiLevelType w:val="hybridMultilevel"/>
    <w:tmpl w:val="4F38B1D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1" w15:restartNumberingAfterBreak="0">
    <w:nsid w:val="172F0AC5"/>
    <w:multiLevelType w:val="multilevel"/>
    <w:tmpl w:val="A43C0172"/>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173A39E7"/>
    <w:multiLevelType w:val="hybridMultilevel"/>
    <w:tmpl w:val="5186F624"/>
    <w:lvl w:ilvl="0" w:tplc="2558EED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86761A5"/>
    <w:multiLevelType w:val="hybridMultilevel"/>
    <w:tmpl w:val="8A3A74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91E4E91"/>
    <w:multiLevelType w:val="hybridMultilevel"/>
    <w:tmpl w:val="3BE06BAE"/>
    <w:lvl w:ilvl="0" w:tplc="04090001">
      <w:start w:val="1"/>
      <w:numFmt w:val="bullet"/>
      <w:lvlText w:val=""/>
      <w:lvlJc w:val="left"/>
      <w:pPr>
        <w:ind w:left="990" w:hanging="360"/>
      </w:pPr>
      <w:rPr>
        <w:rFonts w:ascii="Symbol" w:hAnsi="Symbol" w:hint="default"/>
      </w:rPr>
    </w:lvl>
    <w:lvl w:ilvl="1" w:tplc="FFFFFFFF" w:tentative="1">
      <w:start w:val="1"/>
      <w:numFmt w:val="bullet"/>
      <w:lvlText w:val="o"/>
      <w:lvlJc w:val="left"/>
      <w:pPr>
        <w:ind w:left="1710" w:hanging="360"/>
      </w:pPr>
      <w:rPr>
        <w:rFonts w:ascii="Courier New" w:hAnsi="Courier New" w:cs="Courier New" w:hint="default"/>
      </w:rPr>
    </w:lvl>
    <w:lvl w:ilvl="2" w:tplc="FFFFFFFF" w:tentative="1">
      <w:start w:val="1"/>
      <w:numFmt w:val="bullet"/>
      <w:lvlText w:val=""/>
      <w:lvlJc w:val="left"/>
      <w:pPr>
        <w:ind w:left="2430" w:hanging="360"/>
      </w:pPr>
      <w:rPr>
        <w:rFonts w:ascii="Wingdings" w:hAnsi="Wingdings" w:hint="default"/>
      </w:rPr>
    </w:lvl>
    <w:lvl w:ilvl="3" w:tplc="FFFFFFFF" w:tentative="1">
      <w:start w:val="1"/>
      <w:numFmt w:val="bullet"/>
      <w:lvlText w:val=""/>
      <w:lvlJc w:val="left"/>
      <w:pPr>
        <w:ind w:left="3150" w:hanging="360"/>
      </w:pPr>
      <w:rPr>
        <w:rFonts w:ascii="Symbol" w:hAnsi="Symbol" w:hint="default"/>
      </w:rPr>
    </w:lvl>
    <w:lvl w:ilvl="4" w:tplc="FFFFFFFF" w:tentative="1">
      <w:start w:val="1"/>
      <w:numFmt w:val="bullet"/>
      <w:lvlText w:val="o"/>
      <w:lvlJc w:val="left"/>
      <w:pPr>
        <w:ind w:left="3870" w:hanging="360"/>
      </w:pPr>
      <w:rPr>
        <w:rFonts w:ascii="Courier New" w:hAnsi="Courier New" w:cs="Courier New" w:hint="default"/>
      </w:rPr>
    </w:lvl>
    <w:lvl w:ilvl="5" w:tplc="FFFFFFFF" w:tentative="1">
      <w:start w:val="1"/>
      <w:numFmt w:val="bullet"/>
      <w:lvlText w:val=""/>
      <w:lvlJc w:val="left"/>
      <w:pPr>
        <w:ind w:left="4590" w:hanging="360"/>
      </w:pPr>
      <w:rPr>
        <w:rFonts w:ascii="Wingdings" w:hAnsi="Wingdings" w:hint="default"/>
      </w:rPr>
    </w:lvl>
    <w:lvl w:ilvl="6" w:tplc="FFFFFFFF" w:tentative="1">
      <w:start w:val="1"/>
      <w:numFmt w:val="bullet"/>
      <w:lvlText w:val=""/>
      <w:lvlJc w:val="left"/>
      <w:pPr>
        <w:ind w:left="5310" w:hanging="360"/>
      </w:pPr>
      <w:rPr>
        <w:rFonts w:ascii="Symbol" w:hAnsi="Symbol" w:hint="default"/>
      </w:rPr>
    </w:lvl>
    <w:lvl w:ilvl="7" w:tplc="FFFFFFFF" w:tentative="1">
      <w:start w:val="1"/>
      <w:numFmt w:val="bullet"/>
      <w:lvlText w:val="o"/>
      <w:lvlJc w:val="left"/>
      <w:pPr>
        <w:ind w:left="6030" w:hanging="360"/>
      </w:pPr>
      <w:rPr>
        <w:rFonts w:ascii="Courier New" w:hAnsi="Courier New" w:cs="Courier New" w:hint="default"/>
      </w:rPr>
    </w:lvl>
    <w:lvl w:ilvl="8" w:tplc="FFFFFFFF" w:tentative="1">
      <w:start w:val="1"/>
      <w:numFmt w:val="bullet"/>
      <w:lvlText w:val=""/>
      <w:lvlJc w:val="left"/>
      <w:pPr>
        <w:ind w:left="6750" w:hanging="360"/>
      </w:pPr>
      <w:rPr>
        <w:rFonts w:ascii="Wingdings" w:hAnsi="Wingdings" w:hint="default"/>
      </w:rPr>
    </w:lvl>
  </w:abstractNum>
  <w:abstractNum w:abstractNumId="35" w15:restartNumberingAfterBreak="0">
    <w:nsid w:val="196735E8"/>
    <w:multiLevelType w:val="hybridMultilevel"/>
    <w:tmpl w:val="97981E88"/>
    <w:lvl w:ilvl="0" w:tplc="9AECFD36">
      <w:start w:val="1"/>
      <w:numFmt w:val="bullet"/>
      <w:lvlText w:val=""/>
      <w:lvlJc w:val="left"/>
      <w:pPr>
        <w:ind w:left="720" w:hanging="360"/>
      </w:pPr>
      <w:rPr>
        <w:rFonts w:ascii="Symbol" w:hAnsi="Symbol" w:hint="default"/>
      </w:rPr>
    </w:lvl>
    <w:lvl w:ilvl="1" w:tplc="C130DDDE">
      <w:start w:val="1"/>
      <w:numFmt w:val="bullet"/>
      <w:lvlText w:val="o"/>
      <w:lvlJc w:val="left"/>
      <w:pPr>
        <w:ind w:left="1440" w:hanging="360"/>
      </w:pPr>
      <w:rPr>
        <w:rFonts w:ascii="Courier New" w:hAnsi="Courier New" w:hint="default"/>
      </w:rPr>
    </w:lvl>
    <w:lvl w:ilvl="2" w:tplc="15466798">
      <w:start w:val="1"/>
      <w:numFmt w:val="bullet"/>
      <w:lvlText w:val=""/>
      <w:lvlJc w:val="left"/>
      <w:pPr>
        <w:ind w:left="2160" w:hanging="360"/>
      </w:pPr>
      <w:rPr>
        <w:rFonts w:ascii="Wingdings" w:hAnsi="Wingdings" w:hint="default"/>
      </w:rPr>
    </w:lvl>
    <w:lvl w:ilvl="3" w:tplc="92649B64">
      <w:start w:val="1"/>
      <w:numFmt w:val="bullet"/>
      <w:lvlText w:val=""/>
      <w:lvlJc w:val="left"/>
      <w:pPr>
        <w:ind w:left="2880" w:hanging="360"/>
      </w:pPr>
      <w:rPr>
        <w:rFonts w:ascii="Symbol" w:hAnsi="Symbol" w:hint="default"/>
      </w:rPr>
    </w:lvl>
    <w:lvl w:ilvl="4" w:tplc="B0C02B2A">
      <w:start w:val="1"/>
      <w:numFmt w:val="bullet"/>
      <w:lvlText w:val="o"/>
      <w:lvlJc w:val="left"/>
      <w:pPr>
        <w:ind w:left="3600" w:hanging="360"/>
      </w:pPr>
      <w:rPr>
        <w:rFonts w:ascii="Courier New" w:hAnsi="Courier New" w:hint="default"/>
      </w:rPr>
    </w:lvl>
    <w:lvl w:ilvl="5" w:tplc="3078B782">
      <w:start w:val="1"/>
      <w:numFmt w:val="bullet"/>
      <w:lvlText w:val=""/>
      <w:lvlJc w:val="left"/>
      <w:pPr>
        <w:ind w:left="4320" w:hanging="360"/>
      </w:pPr>
      <w:rPr>
        <w:rFonts w:ascii="Wingdings" w:hAnsi="Wingdings" w:hint="default"/>
      </w:rPr>
    </w:lvl>
    <w:lvl w:ilvl="6" w:tplc="8BD265D4">
      <w:start w:val="1"/>
      <w:numFmt w:val="bullet"/>
      <w:lvlText w:val=""/>
      <w:lvlJc w:val="left"/>
      <w:pPr>
        <w:ind w:left="5040" w:hanging="360"/>
      </w:pPr>
      <w:rPr>
        <w:rFonts w:ascii="Symbol" w:hAnsi="Symbol" w:hint="default"/>
      </w:rPr>
    </w:lvl>
    <w:lvl w:ilvl="7" w:tplc="15CA4E02">
      <w:start w:val="1"/>
      <w:numFmt w:val="bullet"/>
      <w:lvlText w:val="o"/>
      <w:lvlJc w:val="left"/>
      <w:pPr>
        <w:ind w:left="5760" w:hanging="360"/>
      </w:pPr>
      <w:rPr>
        <w:rFonts w:ascii="Courier New" w:hAnsi="Courier New" w:hint="default"/>
      </w:rPr>
    </w:lvl>
    <w:lvl w:ilvl="8" w:tplc="F0B04BA8">
      <w:start w:val="1"/>
      <w:numFmt w:val="bullet"/>
      <w:lvlText w:val=""/>
      <w:lvlJc w:val="left"/>
      <w:pPr>
        <w:ind w:left="6480" w:hanging="360"/>
      </w:pPr>
      <w:rPr>
        <w:rFonts w:ascii="Wingdings" w:hAnsi="Wingdings" w:hint="default"/>
      </w:rPr>
    </w:lvl>
  </w:abstractNum>
  <w:abstractNum w:abstractNumId="36" w15:restartNumberingAfterBreak="0">
    <w:nsid w:val="199F2BFC"/>
    <w:multiLevelType w:val="hybridMultilevel"/>
    <w:tmpl w:val="00E479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A9204A0"/>
    <w:multiLevelType w:val="hybridMultilevel"/>
    <w:tmpl w:val="BA8045C4"/>
    <w:lvl w:ilvl="0" w:tplc="1A707C94">
      <w:start w:val="1"/>
      <w:numFmt w:val="lowerLetter"/>
      <w:lvlText w:val="%1)"/>
      <w:lvlJc w:val="left"/>
      <w:pPr>
        <w:ind w:left="1562" w:hanging="360"/>
      </w:pPr>
      <w:rPr>
        <w:rFonts w:hint="default"/>
      </w:rPr>
    </w:lvl>
    <w:lvl w:ilvl="1" w:tplc="18090019" w:tentative="1">
      <w:start w:val="1"/>
      <w:numFmt w:val="lowerLetter"/>
      <w:lvlText w:val="%2."/>
      <w:lvlJc w:val="left"/>
      <w:pPr>
        <w:ind w:left="2282" w:hanging="360"/>
      </w:pPr>
    </w:lvl>
    <w:lvl w:ilvl="2" w:tplc="1809001B" w:tentative="1">
      <w:start w:val="1"/>
      <w:numFmt w:val="lowerRoman"/>
      <w:lvlText w:val="%3."/>
      <w:lvlJc w:val="right"/>
      <w:pPr>
        <w:ind w:left="3002" w:hanging="180"/>
      </w:pPr>
    </w:lvl>
    <w:lvl w:ilvl="3" w:tplc="1809000F" w:tentative="1">
      <w:start w:val="1"/>
      <w:numFmt w:val="decimal"/>
      <w:lvlText w:val="%4."/>
      <w:lvlJc w:val="left"/>
      <w:pPr>
        <w:ind w:left="3722" w:hanging="360"/>
      </w:pPr>
    </w:lvl>
    <w:lvl w:ilvl="4" w:tplc="18090019" w:tentative="1">
      <w:start w:val="1"/>
      <w:numFmt w:val="lowerLetter"/>
      <w:lvlText w:val="%5."/>
      <w:lvlJc w:val="left"/>
      <w:pPr>
        <w:ind w:left="4442" w:hanging="360"/>
      </w:pPr>
    </w:lvl>
    <w:lvl w:ilvl="5" w:tplc="1809001B" w:tentative="1">
      <w:start w:val="1"/>
      <w:numFmt w:val="lowerRoman"/>
      <w:lvlText w:val="%6."/>
      <w:lvlJc w:val="right"/>
      <w:pPr>
        <w:ind w:left="5162" w:hanging="180"/>
      </w:pPr>
    </w:lvl>
    <w:lvl w:ilvl="6" w:tplc="1809000F" w:tentative="1">
      <w:start w:val="1"/>
      <w:numFmt w:val="decimal"/>
      <w:lvlText w:val="%7."/>
      <w:lvlJc w:val="left"/>
      <w:pPr>
        <w:ind w:left="5882" w:hanging="360"/>
      </w:pPr>
    </w:lvl>
    <w:lvl w:ilvl="7" w:tplc="18090019" w:tentative="1">
      <w:start w:val="1"/>
      <w:numFmt w:val="lowerLetter"/>
      <w:lvlText w:val="%8."/>
      <w:lvlJc w:val="left"/>
      <w:pPr>
        <w:ind w:left="6602" w:hanging="360"/>
      </w:pPr>
    </w:lvl>
    <w:lvl w:ilvl="8" w:tplc="1809001B" w:tentative="1">
      <w:start w:val="1"/>
      <w:numFmt w:val="lowerRoman"/>
      <w:lvlText w:val="%9."/>
      <w:lvlJc w:val="right"/>
      <w:pPr>
        <w:ind w:left="7322" w:hanging="180"/>
      </w:pPr>
    </w:lvl>
  </w:abstractNum>
  <w:abstractNum w:abstractNumId="38" w15:restartNumberingAfterBreak="0">
    <w:nsid w:val="1B39019B"/>
    <w:multiLevelType w:val="hybridMultilevel"/>
    <w:tmpl w:val="AB80BAFC"/>
    <w:lvl w:ilvl="0" w:tplc="4EBCEDE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rPr>
        <w:rFonts w:hint="default"/>
      </w:rPr>
    </w:lvl>
    <w:lvl w:ilvl="2">
      <w:start w:val="1"/>
      <w:numFmt w:val="decimal"/>
      <w:pStyle w:val="Point1number"/>
      <w:lvlText w:val="(%3)"/>
      <w:lvlJc w:val="left"/>
      <w:pPr>
        <w:tabs>
          <w:tab w:val="num" w:pos="1417"/>
        </w:tabs>
        <w:ind w:left="1417" w:hanging="567"/>
      </w:pPr>
      <w:rPr>
        <w:rFonts w:hint="default"/>
      </w:rPr>
    </w:lvl>
    <w:lvl w:ilvl="3">
      <w:start w:val="1"/>
      <w:numFmt w:val="lowerLetter"/>
      <w:pStyle w:val="Point1letter"/>
      <w:lvlText w:val="(%4)"/>
      <w:lvlJc w:val="left"/>
      <w:pPr>
        <w:tabs>
          <w:tab w:val="num" w:pos="1417"/>
        </w:tabs>
        <w:ind w:left="1417" w:hanging="567"/>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40" w15:restartNumberingAfterBreak="0">
    <w:nsid w:val="1B9730DE"/>
    <w:multiLevelType w:val="hybridMultilevel"/>
    <w:tmpl w:val="D69E298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1C7B624F"/>
    <w:multiLevelType w:val="multilevel"/>
    <w:tmpl w:val="DF88E340"/>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2" w15:restartNumberingAfterBreak="0">
    <w:nsid w:val="1C8003B0"/>
    <w:multiLevelType w:val="hybridMultilevel"/>
    <w:tmpl w:val="6B0062D0"/>
    <w:lvl w:ilvl="0" w:tplc="18090001">
      <w:start w:val="1"/>
      <w:numFmt w:val="bullet"/>
      <w:lvlText w:val=""/>
      <w:lvlJc w:val="left"/>
      <w:pPr>
        <w:ind w:left="778" w:hanging="360"/>
      </w:pPr>
      <w:rPr>
        <w:rFonts w:ascii="Symbol" w:hAnsi="Symbol" w:hint="default"/>
      </w:rPr>
    </w:lvl>
    <w:lvl w:ilvl="1" w:tplc="18090003" w:tentative="1">
      <w:start w:val="1"/>
      <w:numFmt w:val="bullet"/>
      <w:lvlText w:val="o"/>
      <w:lvlJc w:val="left"/>
      <w:pPr>
        <w:ind w:left="1498" w:hanging="360"/>
      </w:pPr>
      <w:rPr>
        <w:rFonts w:ascii="Courier New" w:hAnsi="Courier New" w:cs="Courier New" w:hint="default"/>
      </w:rPr>
    </w:lvl>
    <w:lvl w:ilvl="2" w:tplc="18090005" w:tentative="1">
      <w:start w:val="1"/>
      <w:numFmt w:val="bullet"/>
      <w:lvlText w:val=""/>
      <w:lvlJc w:val="left"/>
      <w:pPr>
        <w:ind w:left="2218" w:hanging="360"/>
      </w:pPr>
      <w:rPr>
        <w:rFonts w:ascii="Wingdings" w:hAnsi="Wingdings" w:hint="default"/>
      </w:rPr>
    </w:lvl>
    <w:lvl w:ilvl="3" w:tplc="18090001" w:tentative="1">
      <w:start w:val="1"/>
      <w:numFmt w:val="bullet"/>
      <w:lvlText w:val=""/>
      <w:lvlJc w:val="left"/>
      <w:pPr>
        <w:ind w:left="2938" w:hanging="360"/>
      </w:pPr>
      <w:rPr>
        <w:rFonts w:ascii="Symbol" w:hAnsi="Symbol" w:hint="default"/>
      </w:rPr>
    </w:lvl>
    <w:lvl w:ilvl="4" w:tplc="18090003" w:tentative="1">
      <w:start w:val="1"/>
      <w:numFmt w:val="bullet"/>
      <w:lvlText w:val="o"/>
      <w:lvlJc w:val="left"/>
      <w:pPr>
        <w:ind w:left="3658" w:hanging="360"/>
      </w:pPr>
      <w:rPr>
        <w:rFonts w:ascii="Courier New" w:hAnsi="Courier New" w:cs="Courier New" w:hint="default"/>
      </w:rPr>
    </w:lvl>
    <w:lvl w:ilvl="5" w:tplc="18090005" w:tentative="1">
      <w:start w:val="1"/>
      <w:numFmt w:val="bullet"/>
      <w:lvlText w:val=""/>
      <w:lvlJc w:val="left"/>
      <w:pPr>
        <w:ind w:left="4378" w:hanging="360"/>
      </w:pPr>
      <w:rPr>
        <w:rFonts w:ascii="Wingdings" w:hAnsi="Wingdings" w:hint="default"/>
      </w:rPr>
    </w:lvl>
    <w:lvl w:ilvl="6" w:tplc="18090001" w:tentative="1">
      <w:start w:val="1"/>
      <w:numFmt w:val="bullet"/>
      <w:lvlText w:val=""/>
      <w:lvlJc w:val="left"/>
      <w:pPr>
        <w:ind w:left="5098" w:hanging="360"/>
      </w:pPr>
      <w:rPr>
        <w:rFonts w:ascii="Symbol" w:hAnsi="Symbol" w:hint="default"/>
      </w:rPr>
    </w:lvl>
    <w:lvl w:ilvl="7" w:tplc="18090003" w:tentative="1">
      <w:start w:val="1"/>
      <w:numFmt w:val="bullet"/>
      <w:lvlText w:val="o"/>
      <w:lvlJc w:val="left"/>
      <w:pPr>
        <w:ind w:left="5818" w:hanging="360"/>
      </w:pPr>
      <w:rPr>
        <w:rFonts w:ascii="Courier New" w:hAnsi="Courier New" w:cs="Courier New" w:hint="default"/>
      </w:rPr>
    </w:lvl>
    <w:lvl w:ilvl="8" w:tplc="18090005" w:tentative="1">
      <w:start w:val="1"/>
      <w:numFmt w:val="bullet"/>
      <w:lvlText w:val=""/>
      <w:lvlJc w:val="left"/>
      <w:pPr>
        <w:ind w:left="6538" w:hanging="360"/>
      </w:pPr>
      <w:rPr>
        <w:rFonts w:ascii="Wingdings" w:hAnsi="Wingdings" w:hint="default"/>
      </w:rPr>
    </w:lvl>
  </w:abstractNum>
  <w:abstractNum w:abstractNumId="43" w15:restartNumberingAfterBreak="0">
    <w:nsid w:val="1DDF25EA"/>
    <w:multiLevelType w:val="multilevel"/>
    <w:tmpl w:val="944478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E5734EB"/>
    <w:multiLevelType w:val="hybridMultilevel"/>
    <w:tmpl w:val="975C0B28"/>
    <w:lvl w:ilvl="0" w:tplc="B7641BB0">
      <w:start w:val="2"/>
      <w:numFmt w:val="bullet"/>
      <w:lvlText w:val="-"/>
      <w:lvlJc w:val="left"/>
      <w:pPr>
        <w:ind w:left="720" w:hanging="360"/>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1E7E063B"/>
    <w:multiLevelType w:val="hybridMultilevel"/>
    <w:tmpl w:val="498019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ED4621F"/>
    <w:multiLevelType w:val="hybridMultilevel"/>
    <w:tmpl w:val="97C043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EF8459F"/>
    <w:multiLevelType w:val="hybridMultilevel"/>
    <w:tmpl w:val="4CFE2C60"/>
    <w:lvl w:ilvl="0" w:tplc="6F5A5056">
      <w:start w:val="27"/>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1F2501BE"/>
    <w:multiLevelType w:val="hybridMultilevel"/>
    <w:tmpl w:val="C76643CC"/>
    <w:lvl w:ilvl="0" w:tplc="EE38A3E2">
      <w:numFmt w:val="bullet"/>
      <w:lvlText w:val="-"/>
      <w:lvlJc w:val="left"/>
      <w:pPr>
        <w:ind w:left="720" w:hanging="360"/>
      </w:pPr>
      <w:rPr>
        <w:rFonts w:ascii="Aptos" w:eastAsiaTheme="minorHAnsi" w:hAnsi="Aptos" w:cstheme="minorBidi" w:hint="default"/>
      </w:rPr>
    </w:lvl>
    <w:lvl w:ilvl="1" w:tplc="0C000003">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9" w15:restartNumberingAfterBreak="0">
    <w:nsid w:val="1FD0266A"/>
    <w:multiLevelType w:val="hybridMultilevel"/>
    <w:tmpl w:val="83ACD782"/>
    <w:lvl w:ilvl="0" w:tplc="18090017">
      <w:start w:val="1"/>
      <w:numFmt w:val="lowerLetter"/>
      <w:lvlText w:val="%1)"/>
      <w:lvlJc w:val="left"/>
      <w:pPr>
        <w:ind w:left="720" w:hanging="360"/>
      </w:pPr>
      <w:rPr>
        <w:rFonts w:hint="default"/>
      </w:rPr>
    </w:lvl>
    <w:lvl w:ilvl="1" w:tplc="EE5CCCD8">
      <w:start w:val="1"/>
      <w:numFmt w:val="lowerRoman"/>
      <w:lvlText w:val="%2."/>
      <w:lvlJc w:val="righ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20D417D1"/>
    <w:multiLevelType w:val="hybridMultilevel"/>
    <w:tmpl w:val="DE946370"/>
    <w:lvl w:ilvl="0" w:tplc="18090019">
      <w:start w:val="1"/>
      <w:numFmt w:val="lowerLetter"/>
      <w:lvlText w:val="%1."/>
      <w:lvlJc w:val="left"/>
      <w:pPr>
        <w:ind w:left="1196" w:hanging="360"/>
      </w:pPr>
    </w:lvl>
    <w:lvl w:ilvl="1" w:tplc="18090019" w:tentative="1">
      <w:start w:val="1"/>
      <w:numFmt w:val="lowerLetter"/>
      <w:lvlText w:val="%2."/>
      <w:lvlJc w:val="left"/>
      <w:pPr>
        <w:ind w:left="1916" w:hanging="360"/>
      </w:pPr>
    </w:lvl>
    <w:lvl w:ilvl="2" w:tplc="1809001B" w:tentative="1">
      <w:start w:val="1"/>
      <w:numFmt w:val="lowerRoman"/>
      <w:lvlText w:val="%3."/>
      <w:lvlJc w:val="right"/>
      <w:pPr>
        <w:ind w:left="2636" w:hanging="180"/>
      </w:pPr>
    </w:lvl>
    <w:lvl w:ilvl="3" w:tplc="1809000F" w:tentative="1">
      <w:start w:val="1"/>
      <w:numFmt w:val="decimal"/>
      <w:lvlText w:val="%4."/>
      <w:lvlJc w:val="left"/>
      <w:pPr>
        <w:ind w:left="3356" w:hanging="360"/>
      </w:pPr>
    </w:lvl>
    <w:lvl w:ilvl="4" w:tplc="18090019" w:tentative="1">
      <w:start w:val="1"/>
      <w:numFmt w:val="lowerLetter"/>
      <w:lvlText w:val="%5."/>
      <w:lvlJc w:val="left"/>
      <w:pPr>
        <w:ind w:left="4076" w:hanging="360"/>
      </w:pPr>
    </w:lvl>
    <w:lvl w:ilvl="5" w:tplc="1809001B" w:tentative="1">
      <w:start w:val="1"/>
      <w:numFmt w:val="lowerRoman"/>
      <w:lvlText w:val="%6."/>
      <w:lvlJc w:val="right"/>
      <w:pPr>
        <w:ind w:left="4796" w:hanging="180"/>
      </w:pPr>
    </w:lvl>
    <w:lvl w:ilvl="6" w:tplc="1809000F" w:tentative="1">
      <w:start w:val="1"/>
      <w:numFmt w:val="decimal"/>
      <w:lvlText w:val="%7."/>
      <w:lvlJc w:val="left"/>
      <w:pPr>
        <w:ind w:left="5516" w:hanging="360"/>
      </w:pPr>
    </w:lvl>
    <w:lvl w:ilvl="7" w:tplc="18090019" w:tentative="1">
      <w:start w:val="1"/>
      <w:numFmt w:val="lowerLetter"/>
      <w:lvlText w:val="%8."/>
      <w:lvlJc w:val="left"/>
      <w:pPr>
        <w:ind w:left="6236" w:hanging="360"/>
      </w:pPr>
    </w:lvl>
    <w:lvl w:ilvl="8" w:tplc="1809001B" w:tentative="1">
      <w:start w:val="1"/>
      <w:numFmt w:val="lowerRoman"/>
      <w:lvlText w:val="%9."/>
      <w:lvlJc w:val="right"/>
      <w:pPr>
        <w:ind w:left="6956" w:hanging="180"/>
      </w:pPr>
    </w:lvl>
  </w:abstractNum>
  <w:abstractNum w:abstractNumId="51" w15:restartNumberingAfterBreak="0">
    <w:nsid w:val="21711F15"/>
    <w:multiLevelType w:val="hybridMultilevel"/>
    <w:tmpl w:val="655626AA"/>
    <w:lvl w:ilvl="0" w:tplc="1242E8D6">
      <w:start w:val="2"/>
      <w:numFmt w:val="bullet"/>
      <w:lvlText w:val="-"/>
      <w:lvlJc w:val="left"/>
      <w:pPr>
        <w:ind w:left="784" w:hanging="360"/>
      </w:pPr>
      <w:rPr>
        <w:rFonts w:ascii="Times New Roman" w:eastAsiaTheme="minorEastAsia" w:hAnsi="Times New Roman" w:cs="Times New Roman" w:hint="default"/>
      </w:rPr>
    </w:lvl>
    <w:lvl w:ilvl="1" w:tplc="18090003" w:tentative="1">
      <w:start w:val="1"/>
      <w:numFmt w:val="bullet"/>
      <w:lvlText w:val="o"/>
      <w:lvlJc w:val="left"/>
      <w:pPr>
        <w:ind w:left="1504" w:hanging="360"/>
      </w:pPr>
      <w:rPr>
        <w:rFonts w:ascii="Courier New" w:hAnsi="Courier New" w:cs="Courier New" w:hint="default"/>
      </w:rPr>
    </w:lvl>
    <w:lvl w:ilvl="2" w:tplc="18090005" w:tentative="1">
      <w:start w:val="1"/>
      <w:numFmt w:val="bullet"/>
      <w:lvlText w:val=""/>
      <w:lvlJc w:val="left"/>
      <w:pPr>
        <w:ind w:left="2224" w:hanging="360"/>
      </w:pPr>
      <w:rPr>
        <w:rFonts w:ascii="Wingdings" w:hAnsi="Wingdings" w:hint="default"/>
      </w:rPr>
    </w:lvl>
    <w:lvl w:ilvl="3" w:tplc="18090001" w:tentative="1">
      <w:start w:val="1"/>
      <w:numFmt w:val="bullet"/>
      <w:lvlText w:val=""/>
      <w:lvlJc w:val="left"/>
      <w:pPr>
        <w:ind w:left="2944" w:hanging="360"/>
      </w:pPr>
      <w:rPr>
        <w:rFonts w:ascii="Symbol" w:hAnsi="Symbol" w:hint="default"/>
      </w:rPr>
    </w:lvl>
    <w:lvl w:ilvl="4" w:tplc="18090003" w:tentative="1">
      <w:start w:val="1"/>
      <w:numFmt w:val="bullet"/>
      <w:lvlText w:val="o"/>
      <w:lvlJc w:val="left"/>
      <w:pPr>
        <w:ind w:left="3664" w:hanging="360"/>
      </w:pPr>
      <w:rPr>
        <w:rFonts w:ascii="Courier New" w:hAnsi="Courier New" w:cs="Courier New" w:hint="default"/>
      </w:rPr>
    </w:lvl>
    <w:lvl w:ilvl="5" w:tplc="18090005" w:tentative="1">
      <w:start w:val="1"/>
      <w:numFmt w:val="bullet"/>
      <w:lvlText w:val=""/>
      <w:lvlJc w:val="left"/>
      <w:pPr>
        <w:ind w:left="4384" w:hanging="360"/>
      </w:pPr>
      <w:rPr>
        <w:rFonts w:ascii="Wingdings" w:hAnsi="Wingdings" w:hint="default"/>
      </w:rPr>
    </w:lvl>
    <w:lvl w:ilvl="6" w:tplc="18090001" w:tentative="1">
      <w:start w:val="1"/>
      <w:numFmt w:val="bullet"/>
      <w:lvlText w:val=""/>
      <w:lvlJc w:val="left"/>
      <w:pPr>
        <w:ind w:left="5104" w:hanging="360"/>
      </w:pPr>
      <w:rPr>
        <w:rFonts w:ascii="Symbol" w:hAnsi="Symbol" w:hint="default"/>
      </w:rPr>
    </w:lvl>
    <w:lvl w:ilvl="7" w:tplc="18090003" w:tentative="1">
      <w:start w:val="1"/>
      <w:numFmt w:val="bullet"/>
      <w:lvlText w:val="o"/>
      <w:lvlJc w:val="left"/>
      <w:pPr>
        <w:ind w:left="5824" w:hanging="360"/>
      </w:pPr>
      <w:rPr>
        <w:rFonts w:ascii="Courier New" w:hAnsi="Courier New" w:cs="Courier New" w:hint="default"/>
      </w:rPr>
    </w:lvl>
    <w:lvl w:ilvl="8" w:tplc="18090005" w:tentative="1">
      <w:start w:val="1"/>
      <w:numFmt w:val="bullet"/>
      <w:lvlText w:val=""/>
      <w:lvlJc w:val="left"/>
      <w:pPr>
        <w:ind w:left="6544" w:hanging="360"/>
      </w:pPr>
      <w:rPr>
        <w:rFonts w:ascii="Wingdings" w:hAnsi="Wingdings" w:hint="default"/>
      </w:rPr>
    </w:lvl>
  </w:abstractNum>
  <w:abstractNum w:abstractNumId="52" w15:restartNumberingAfterBreak="0">
    <w:nsid w:val="21CD0038"/>
    <w:multiLevelType w:val="hybridMultilevel"/>
    <w:tmpl w:val="AB705262"/>
    <w:name w:val="EurolookHeading2"/>
    <w:lvl w:ilvl="0" w:tplc="F6525A74">
      <w:start w:val="1"/>
      <w:numFmt w:val="lowerLetter"/>
      <w:lvlText w:val="%1."/>
      <w:lvlJc w:val="left"/>
      <w:pPr>
        <w:ind w:left="228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3C04770"/>
    <w:multiLevelType w:val="hybridMultilevel"/>
    <w:tmpl w:val="8ED03C3A"/>
    <w:lvl w:ilvl="0" w:tplc="F4B0C470">
      <w:start w:val="1"/>
      <w:numFmt w:val="lowerRoman"/>
      <w:lvlText w:val="(%1)"/>
      <w:lvlJc w:val="left"/>
      <w:pPr>
        <w:ind w:left="1080" w:hanging="720"/>
      </w:pPr>
      <w:rPr>
        <w:rFonts w:hint="default"/>
        <w:b w:val="0"/>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25C069DB"/>
    <w:multiLevelType w:val="hybridMultilevel"/>
    <w:tmpl w:val="758E592C"/>
    <w:lvl w:ilvl="0" w:tplc="04090017">
      <w:start w:val="9"/>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5F907DE"/>
    <w:multiLevelType w:val="hybridMultilevel"/>
    <w:tmpl w:val="E1D8DA7C"/>
    <w:lvl w:ilvl="0" w:tplc="4EBCED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8101AAD"/>
    <w:multiLevelType w:val="hybridMultilevel"/>
    <w:tmpl w:val="83ACD782"/>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28626B9B"/>
    <w:multiLevelType w:val="hybridMultilevel"/>
    <w:tmpl w:val="B192E5DA"/>
    <w:lvl w:ilvl="0" w:tplc="FFFFFFFF">
      <w:start w:val="1"/>
      <w:numFmt w:val="lowerLetter"/>
      <w:lvlText w:val="%1."/>
      <w:lvlJc w:val="left"/>
      <w:pPr>
        <w:ind w:left="2282"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8" w15:restartNumberingAfterBreak="0">
    <w:nsid w:val="28882748"/>
    <w:multiLevelType w:val="hybridMultilevel"/>
    <w:tmpl w:val="69E03FD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9" w15:restartNumberingAfterBreak="0">
    <w:nsid w:val="29D223A7"/>
    <w:multiLevelType w:val="hybridMultilevel"/>
    <w:tmpl w:val="5AB43040"/>
    <w:lvl w:ilvl="0" w:tplc="53789B0A">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0" w15:restartNumberingAfterBreak="0">
    <w:nsid w:val="2C317E7F"/>
    <w:multiLevelType w:val="hybridMultilevel"/>
    <w:tmpl w:val="2FDEA2BA"/>
    <w:lvl w:ilvl="0" w:tplc="21F2852A">
      <w:start w:val="1"/>
      <w:numFmt w:val="decimal"/>
      <w:lvlText w:val="(%1)"/>
      <w:lvlJc w:val="left"/>
      <w:pPr>
        <w:ind w:left="720" w:hanging="360"/>
      </w:pPr>
    </w:lvl>
    <w:lvl w:ilvl="1" w:tplc="29CA8FEE">
      <w:start w:val="1"/>
      <w:numFmt w:val="lowerLetter"/>
      <w:lvlText w:val="%2."/>
      <w:lvlJc w:val="left"/>
      <w:pPr>
        <w:ind w:left="1440" w:hanging="360"/>
      </w:pPr>
    </w:lvl>
    <w:lvl w:ilvl="2" w:tplc="37D2ED80">
      <w:start w:val="1"/>
      <w:numFmt w:val="lowerRoman"/>
      <w:lvlText w:val="%3."/>
      <w:lvlJc w:val="right"/>
      <w:pPr>
        <w:ind w:left="2160" w:hanging="180"/>
      </w:pPr>
    </w:lvl>
    <w:lvl w:ilvl="3" w:tplc="F144431C">
      <w:start w:val="1"/>
      <w:numFmt w:val="decimal"/>
      <w:lvlText w:val="%4."/>
      <w:lvlJc w:val="left"/>
      <w:pPr>
        <w:ind w:left="2880" w:hanging="360"/>
      </w:pPr>
    </w:lvl>
    <w:lvl w:ilvl="4" w:tplc="D99840FC">
      <w:start w:val="1"/>
      <w:numFmt w:val="lowerLetter"/>
      <w:lvlText w:val="%5."/>
      <w:lvlJc w:val="left"/>
      <w:pPr>
        <w:ind w:left="3600" w:hanging="360"/>
      </w:pPr>
    </w:lvl>
    <w:lvl w:ilvl="5" w:tplc="72D00394">
      <w:start w:val="1"/>
      <w:numFmt w:val="lowerRoman"/>
      <w:lvlText w:val="%6."/>
      <w:lvlJc w:val="right"/>
      <w:pPr>
        <w:ind w:left="4320" w:hanging="180"/>
      </w:pPr>
    </w:lvl>
    <w:lvl w:ilvl="6" w:tplc="8DD6C304">
      <w:start w:val="1"/>
      <w:numFmt w:val="decimal"/>
      <w:lvlText w:val="%7."/>
      <w:lvlJc w:val="left"/>
      <w:pPr>
        <w:ind w:left="5040" w:hanging="360"/>
      </w:pPr>
    </w:lvl>
    <w:lvl w:ilvl="7" w:tplc="FF5AE788">
      <w:start w:val="1"/>
      <w:numFmt w:val="lowerLetter"/>
      <w:lvlText w:val="%8."/>
      <w:lvlJc w:val="left"/>
      <w:pPr>
        <w:ind w:left="5760" w:hanging="360"/>
      </w:pPr>
    </w:lvl>
    <w:lvl w:ilvl="8" w:tplc="0C56C594">
      <w:start w:val="1"/>
      <w:numFmt w:val="lowerRoman"/>
      <w:lvlText w:val="%9."/>
      <w:lvlJc w:val="right"/>
      <w:pPr>
        <w:ind w:left="6480" w:hanging="180"/>
      </w:pPr>
    </w:lvl>
  </w:abstractNum>
  <w:abstractNum w:abstractNumId="61" w15:restartNumberingAfterBreak="0">
    <w:nsid w:val="2C8C2920"/>
    <w:multiLevelType w:val="hybridMultilevel"/>
    <w:tmpl w:val="5E4612F4"/>
    <w:lvl w:ilvl="0" w:tplc="FFFFFFFF">
      <w:start w:val="1"/>
      <w:numFmt w:val="decimal"/>
      <w:lvlText w:val="%1."/>
      <w:lvlJc w:val="left"/>
      <w:pPr>
        <w:ind w:left="1562" w:hanging="360"/>
      </w:pPr>
      <w:rPr>
        <w:rFonts w:hint="default"/>
      </w:rPr>
    </w:lvl>
    <w:lvl w:ilvl="1" w:tplc="FFFFFFFF">
      <w:start w:val="1"/>
      <w:numFmt w:val="lowerLetter"/>
      <w:lvlText w:val="%2."/>
      <w:lvlJc w:val="left"/>
      <w:pPr>
        <w:ind w:left="2282" w:hanging="360"/>
      </w:pPr>
    </w:lvl>
    <w:lvl w:ilvl="2" w:tplc="FFFFFFFF" w:tentative="1">
      <w:start w:val="1"/>
      <w:numFmt w:val="lowerRoman"/>
      <w:lvlText w:val="%3."/>
      <w:lvlJc w:val="right"/>
      <w:pPr>
        <w:ind w:left="3002" w:hanging="180"/>
      </w:pPr>
    </w:lvl>
    <w:lvl w:ilvl="3" w:tplc="FFFFFFFF" w:tentative="1">
      <w:start w:val="1"/>
      <w:numFmt w:val="decimal"/>
      <w:lvlText w:val="%4."/>
      <w:lvlJc w:val="left"/>
      <w:pPr>
        <w:ind w:left="3722" w:hanging="360"/>
      </w:pPr>
    </w:lvl>
    <w:lvl w:ilvl="4" w:tplc="FFFFFFFF" w:tentative="1">
      <w:start w:val="1"/>
      <w:numFmt w:val="lowerLetter"/>
      <w:lvlText w:val="%5."/>
      <w:lvlJc w:val="left"/>
      <w:pPr>
        <w:ind w:left="4442" w:hanging="360"/>
      </w:pPr>
    </w:lvl>
    <w:lvl w:ilvl="5" w:tplc="FFFFFFFF" w:tentative="1">
      <w:start w:val="1"/>
      <w:numFmt w:val="lowerRoman"/>
      <w:lvlText w:val="%6."/>
      <w:lvlJc w:val="right"/>
      <w:pPr>
        <w:ind w:left="5162" w:hanging="180"/>
      </w:pPr>
    </w:lvl>
    <w:lvl w:ilvl="6" w:tplc="FFFFFFFF" w:tentative="1">
      <w:start w:val="1"/>
      <w:numFmt w:val="decimal"/>
      <w:lvlText w:val="%7."/>
      <w:lvlJc w:val="left"/>
      <w:pPr>
        <w:ind w:left="5882" w:hanging="360"/>
      </w:pPr>
    </w:lvl>
    <w:lvl w:ilvl="7" w:tplc="FFFFFFFF" w:tentative="1">
      <w:start w:val="1"/>
      <w:numFmt w:val="lowerLetter"/>
      <w:lvlText w:val="%8."/>
      <w:lvlJc w:val="left"/>
      <w:pPr>
        <w:ind w:left="6602" w:hanging="360"/>
      </w:pPr>
    </w:lvl>
    <w:lvl w:ilvl="8" w:tplc="FFFFFFFF" w:tentative="1">
      <w:start w:val="1"/>
      <w:numFmt w:val="lowerRoman"/>
      <w:lvlText w:val="%9."/>
      <w:lvlJc w:val="right"/>
      <w:pPr>
        <w:ind w:left="7322" w:hanging="180"/>
      </w:pPr>
    </w:lvl>
  </w:abstractNum>
  <w:abstractNum w:abstractNumId="62" w15:restartNumberingAfterBreak="0">
    <w:nsid w:val="2C8DFDF8"/>
    <w:multiLevelType w:val="multilevel"/>
    <w:tmpl w:val="975E6EB4"/>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3" w15:restartNumberingAfterBreak="0">
    <w:nsid w:val="2CB72C6E"/>
    <w:multiLevelType w:val="singleLevel"/>
    <w:tmpl w:val="10ACD464"/>
    <w:name w:val="Bullet 3"/>
    <w:lvl w:ilvl="0">
      <w:numFmt w:val="bullet"/>
      <w:pStyle w:val="Bullet3"/>
      <w:lvlText w:val=""/>
      <w:lvlJc w:val="left"/>
      <w:pPr>
        <w:tabs>
          <w:tab w:val="num" w:pos="2551"/>
        </w:tabs>
        <w:ind w:left="2551" w:hanging="567"/>
      </w:pPr>
      <w:rPr>
        <w:rFonts w:ascii="Symbol" w:hAnsi="Symbol"/>
      </w:rPr>
    </w:lvl>
  </w:abstractNum>
  <w:abstractNum w:abstractNumId="64" w15:restartNumberingAfterBreak="0">
    <w:nsid w:val="2CE9221F"/>
    <w:multiLevelType w:val="singleLevel"/>
    <w:tmpl w:val="9B4AFB48"/>
    <w:name w:val="Tiret 3"/>
    <w:lvl w:ilvl="0">
      <w:numFmt w:val="bullet"/>
      <w:pStyle w:val="Tiret3"/>
      <w:lvlText w:val="–"/>
      <w:lvlJc w:val="left"/>
      <w:pPr>
        <w:tabs>
          <w:tab w:val="num" w:pos="2551"/>
        </w:tabs>
        <w:ind w:left="2551" w:hanging="567"/>
      </w:pPr>
    </w:lvl>
  </w:abstractNum>
  <w:abstractNum w:abstractNumId="65" w15:restartNumberingAfterBreak="0">
    <w:nsid w:val="2D293CE3"/>
    <w:multiLevelType w:val="multilevel"/>
    <w:tmpl w:val="1B12EAE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6" w15:restartNumberingAfterBreak="0">
    <w:nsid w:val="2D293CF4"/>
    <w:multiLevelType w:val="multilevel"/>
    <w:tmpl w:val="17EAC17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pPr>
        <w:ind w:left="0" w:firstLine="0"/>
      </w:pPr>
      <w:rPr>
        <w:rFonts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67" w15:restartNumberingAfterBreak="0">
    <w:nsid w:val="2D3F0AAC"/>
    <w:multiLevelType w:val="hybridMultilevel"/>
    <w:tmpl w:val="2FA67CA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F481C10"/>
    <w:multiLevelType w:val="hybridMultilevel"/>
    <w:tmpl w:val="A98278A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F697E17"/>
    <w:multiLevelType w:val="multilevel"/>
    <w:tmpl w:val="0D6A0F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0" w15:restartNumberingAfterBreak="0">
    <w:nsid w:val="2FF62225"/>
    <w:multiLevelType w:val="hybridMultilevel"/>
    <w:tmpl w:val="5E4612F4"/>
    <w:lvl w:ilvl="0" w:tplc="FFFFFFFF">
      <w:start w:val="1"/>
      <w:numFmt w:val="decimal"/>
      <w:lvlText w:val="%1."/>
      <w:lvlJc w:val="left"/>
      <w:pPr>
        <w:ind w:left="1562" w:hanging="360"/>
      </w:pPr>
      <w:rPr>
        <w:rFonts w:hint="default"/>
      </w:rPr>
    </w:lvl>
    <w:lvl w:ilvl="1" w:tplc="FFFFFFFF">
      <w:start w:val="1"/>
      <w:numFmt w:val="lowerLetter"/>
      <w:lvlText w:val="%2."/>
      <w:lvlJc w:val="left"/>
      <w:pPr>
        <w:ind w:left="2282" w:hanging="360"/>
      </w:pPr>
    </w:lvl>
    <w:lvl w:ilvl="2" w:tplc="FFFFFFFF" w:tentative="1">
      <w:start w:val="1"/>
      <w:numFmt w:val="lowerRoman"/>
      <w:lvlText w:val="%3."/>
      <w:lvlJc w:val="right"/>
      <w:pPr>
        <w:ind w:left="3002" w:hanging="180"/>
      </w:pPr>
    </w:lvl>
    <w:lvl w:ilvl="3" w:tplc="FFFFFFFF" w:tentative="1">
      <w:start w:val="1"/>
      <w:numFmt w:val="decimal"/>
      <w:lvlText w:val="%4."/>
      <w:lvlJc w:val="left"/>
      <w:pPr>
        <w:ind w:left="3722" w:hanging="360"/>
      </w:pPr>
    </w:lvl>
    <w:lvl w:ilvl="4" w:tplc="FFFFFFFF" w:tentative="1">
      <w:start w:val="1"/>
      <w:numFmt w:val="lowerLetter"/>
      <w:lvlText w:val="%5."/>
      <w:lvlJc w:val="left"/>
      <w:pPr>
        <w:ind w:left="4442" w:hanging="360"/>
      </w:pPr>
    </w:lvl>
    <w:lvl w:ilvl="5" w:tplc="FFFFFFFF" w:tentative="1">
      <w:start w:val="1"/>
      <w:numFmt w:val="lowerRoman"/>
      <w:lvlText w:val="%6."/>
      <w:lvlJc w:val="right"/>
      <w:pPr>
        <w:ind w:left="5162" w:hanging="180"/>
      </w:pPr>
    </w:lvl>
    <w:lvl w:ilvl="6" w:tplc="FFFFFFFF" w:tentative="1">
      <w:start w:val="1"/>
      <w:numFmt w:val="decimal"/>
      <w:lvlText w:val="%7."/>
      <w:lvlJc w:val="left"/>
      <w:pPr>
        <w:ind w:left="5882" w:hanging="360"/>
      </w:pPr>
    </w:lvl>
    <w:lvl w:ilvl="7" w:tplc="FFFFFFFF" w:tentative="1">
      <w:start w:val="1"/>
      <w:numFmt w:val="lowerLetter"/>
      <w:lvlText w:val="%8."/>
      <w:lvlJc w:val="left"/>
      <w:pPr>
        <w:ind w:left="6602" w:hanging="360"/>
      </w:pPr>
    </w:lvl>
    <w:lvl w:ilvl="8" w:tplc="FFFFFFFF" w:tentative="1">
      <w:start w:val="1"/>
      <w:numFmt w:val="lowerRoman"/>
      <w:lvlText w:val="%9."/>
      <w:lvlJc w:val="right"/>
      <w:pPr>
        <w:ind w:left="7322" w:hanging="180"/>
      </w:pPr>
    </w:lvl>
  </w:abstractNum>
  <w:abstractNum w:abstractNumId="71" w15:restartNumberingAfterBreak="0">
    <w:nsid w:val="30C067C8"/>
    <w:multiLevelType w:val="hybridMultilevel"/>
    <w:tmpl w:val="80604034"/>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2" w15:restartNumberingAfterBreak="0">
    <w:nsid w:val="33C66F83"/>
    <w:multiLevelType w:val="multilevel"/>
    <w:tmpl w:val="9B0A5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5861FA3"/>
    <w:multiLevelType w:val="multilevel"/>
    <w:tmpl w:val="F3DE5430"/>
    <w:styleLink w:val="NumblistFigures"/>
    <w:lvl w:ilvl="0">
      <w:start w:val="1"/>
      <w:numFmt w:val="decimal"/>
      <w:lvlText w:val="Figure %1"/>
      <w:lvlJc w:val="left"/>
      <w:pPr>
        <w:tabs>
          <w:tab w:val="num" w:pos="1134"/>
        </w:tabs>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4" w15:restartNumberingAfterBreak="0">
    <w:nsid w:val="361F6EED"/>
    <w:multiLevelType w:val="hybridMultilevel"/>
    <w:tmpl w:val="A6AA4D08"/>
    <w:lvl w:ilvl="0" w:tplc="98AEB2E6">
      <w:start w:val="1"/>
      <w:numFmt w:val="bullet"/>
      <w:lvlText w:val=""/>
      <w:lvlJc w:val="left"/>
      <w:pPr>
        <w:ind w:left="720" w:hanging="360"/>
      </w:pPr>
      <w:rPr>
        <w:rFonts w:ascii="Symbol" w:hAnsi="Symbol" w:hint="default"/>
      </w:rPr>
    </w:lvl>
    <w:lvl w:ilvl="1" w:tplc="AC967DE8">
      <w:start w:val="1"/>
      <w:numFmt w:val="bullet"/>
      <w:lvlText w:val="o"/>
      <w:lvlJc w:val="left"/>
      <w:pPr>
        <w:ind w:left="1440" w:hanging="360"/>
      </w:pPr>
      <w:rPr>
        <w:rFonts w:ascii="Courier New" w:hAnsi="Courier New" w:hint="default"/>
      </w:rPr>
    </w:lvl>
    <w:lvl w:ilvl="2" w:tplc="CBFC0D12">
      <w:start w:val="1"/>
      <w:numFmt w:val="bullet"/>
      <w:lvlText w:val=""/>
      <w:lvlJc w:val="left"/>
      <w:pPr>
        <w:ind w:left="2160" w:hanging="360"/>
      </w:pPr>
      <w:rPr>
        <w:rFonts w:ascii="Wingdings" w:hAnsi="Wingdings" w:hint="default"/>
      </w:rPr>
    </w:lvl>
    <w:lvl w:ilvl="3" w:tplc="ED6275E2">
      <w:start w:val="1"/>
      <w:numFmt w:val="bullet"/>
      <w:lvlText w:val=""/>
      <w:lvlJc w:val="left"/>
      <w:pPr>
        <w:ind w:left="2880" w:hanging="360"/>
      </w:pPr>
      <w:rPr>
        <w:rFonts w:ascii="Symbol" w:hAnsi="Symbol" w:hint="default"/>
      </w:rPr>
    </w:lvl>
    <w:lvl w:ilvl="4" w:tplc="D13470C6">
      <w:start w:val="1"/>
      <w:numFmt w:val="bullet"/>
      <w:lvlText w:val="o"/>
      <w:lvlJc w:val="left"/>
      <w:pPr>
        <w:ind w:left="3600" w:hanging="360"/>
      </w:pPr>
      <w:rPr>
        <w:rFonts w:ascii="Courier New" w:hAnsi="Courier New" w:hint="default"/>
      </w:rPr>
    </w:lvl>
    <w:lvl w:ilvl="5" w:tplc="E0CC8C46">
      <w:start w:val="1"/>
      <w:numFmt w:val="bullet"/>
      <w:lvlText w:val=""/>
      <w:lvlJc w:val="left"/>
      <w:pPr>
        <w:ind w:left="4320" w:hanging="360"/>
      </w:pPr>
      <w:rPr>
        <w:rFonts w:ascii="Wingdings" w:hAnsi="Wingdings" w:hint="default"/>
      </w:rPr>
    </w:lvl>
    <w:lvl w:ilvl="6" w:tplc="BFA2481C">
      <w:start w:val="1"/>
      <w:numFmt w:val="bullet"/>
      <w:lvlText w:val=""/>
      <w:lvlJc w:val="left"/>
      <w:pPr>
        <w:ind w:left="5040" w:hanging="360"/>
      </w:pPr>
      <w:rPr>
        <w:rFonts w:ascii="Symbol" w:hAnsi="Symbol" w:hint="default"/>
      </w:rPr>
    </w:lvl>
    <w:lvl w:ilvl="7" w:tplc="CEEA855E">
      <w:start w:val="1"/>
      <w:numFmt w:val="bullet"/>
      <w:lvlText w:val="o"/>
      <w:lvlJc w:val="left"/>
      <w:pPr>
        <w:ind w:left="5760" w:hanging="360"/>
      </w:pPr>
      <w:rPr>
        <w:rFonts w:ascii="Courier New" w:hAnsi="Courier New" w:hint="default"/>
      </w:rPr>
    </w:lvl>
    <w:lvl w:ilvl="8" w:tplc="0F54670E">
      <w:start w:val="1"/>
      <w:numFmt w:val="bullet"/>
      <w:lvlText w:val=""/>
      <w:lvlJc w:val="left"/>
      <w:pPr>
        <w:ind w:left="6480" w:hanging="360"/>
      </w:pPr>
      <w:rPr>
        <w:rFonts w:ascii="Wingdings" w:hAnsi="Wingdings" w:hint="default"/>
      </w:rPr>
    </w:lvl>
  </w:abstractNum>
  <w:abstractNum w:abstractNumId="75" w15:restartNumberingAfterBreak="0">
    <w:nsid w:val="36324F1E"/>
    <w:multiLevelType w:val="multilevel"/>
    <w:tmpl w:val="3E98B494"/>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6" w15:restartNumberingAfterBreak="0">
    <w:nsid w:val="36993926"/>
    <w:multiLevelType w:val="hybridMultilevel"/>
    <w:tmpl w:val="D9AC388E"/>
    <w:lvl w:ilvl="0" w:tplc="1242E8D6">
      <w:start w:val="2"/>
      <w:numFmt w:val="bullet"/>
      <w:lvlText w:val="-"/>
      <w:lvlJc w:val="left"/>
      <w:pPr>
        <w:ind w:left="720" w:hanging="360"/>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7" w15:restartNumberingAfterBreak="0">
    <w:nsid w:val="36B630CA"/>
    <w:multiLevelType w:val="hybridMultilevel"/>
    <w:tmpl w:val="D5B04BE4"/>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8" w15:restartNumberingAfterBreak="0">
    <w:nsid w:val="37CB1E1C"/>
    <w:multiLevelType w:val="multilevel"/>
    <w:tmpl w:val="79DC7770"/>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9" w15:restartNumberingAfterBreak="0">
    <w:nsid w:val="3A010B16"/>
    <w:multiLevelType w:val="hybridMultilevel"/>
    <w:tmpl w:val="0690103C"/>
    <w:lvl w:ilvl="0" w:tplc="8F04F09A">
      <w:start w:val="1"/>
      <w:numFmt w:val="lowerRoman"/>
      <w:lvlText w:val="%1."/>
      <w:lvlJc w:val="left"/>
      <w:pPr>
        <w:ind w:left="2520" w:hanging="720"/>
      </w:pPr>
      <w:rPr>
        <w:rFonts w:hint="default"/>
      </w:rPr>
    </w:lvl>
    <w:lvl w:ilvl="1" w:tplc="18090019">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80" w15:restartNumberingAfterBreak="0">
    <w:nsid w:val="3A7730C4"/>
    <w:multiLevelType w:val="multilevel"/>
    <w:tmpl w:val="1EE818D2"/>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1" w15:restartNumberingAfterBreak="0">
    <w:nsid w:val="3B17100E"/>
    <w:multiLevelType w:val="hybridMultilevel"/>
    <w:tmpl w:val="55A65698"/>
    <w:lvl w:ilvl="0" w:tplc="5EE87966">
      <w:start w:val="1"/>
      <w:numFmt w:val="decimal"/>
      <w:lvlText w:val="%1."/>
      <w:lvlJc w:val="left"/>
      <w:pPr>
        <w:ind w:left="1020" w:hanging="360"/>
      </w:pPr>
    </w:lvl>
    <w:lvl w:ilvl="1" w:tplc="A9FCAE24">
      <w:start w:val="1"/>
      <w:numFmt w:val="decimal"/>
      <w:lvlText w:val="%2."/>
      <w:lvlJc w:val="left"/>
      <w:pPr>
        <w:ind w:left="1020" w:hanging="360"/>
      </w:pPr>
    </w:lvl>
    <w:lvl w:ilvl="2" w:tplc="41B63C0C">
      <w:start w:val="1"/>
      <w:numFmt w:val="decimal"/>
      <w:lvlText w:val="%3."/>
      <w:lvlJc w:val="left"/>
      <w:pPr>
        <w:ind w:left="1020" w:hanging="360"/>
      </w:pPr>
    </w:lvl>
    <w:lvl w:ilvl="3" w:tplc="224C0FB2">
      <w:start w:val="1"/>
      <w:numFmt w:val="decimal"/>
      <w:lvlText w:val="%4."/>
      <w:lvlJc w:val="left"/>
      <w:pPr>
        <w:ind w:left="1020" w:hanging="360"/>
      </w:pPr>
    </w:lvl>
    <w:lvl w:ilvl="4" w:tplc="82126D82">
      <w:start w:val="1"/>
      <w:numFmt w:val="decimal"/>
      <w:lvlText w:val="%5."/>
      <w:lvlJc w:val="left"/>
      <w:pPr>
        <w:ind w:left="1020" w:hanging="360"/>
      </w:pPr>
    </w:lvl>
    <w:lvl w:ilvl="5" w:tplc="88686414">
      <w:start w:val="1"/>
      <w:numFmt w:val="decimal"/>
      <w:lvlText w:val="%6."/>
      <w:lvlJc w:val="left"/>
      <w:pPr>
        <w:ind w:left="1020" w:hanging="360"/>
      </w:pPr>
    </w:lvl>
    <w:lvl w:ilvl="6" w:tplc="B13E3AFE">
      <w:start w:val="1"/>
      <w:numFmt w:val="decimal"/>
      <w:lvlText w:val="%7."/>
      <w:lvlJc w:val="left"/>
      <w:pPr>
        <w:ind w:left="1020" w:hanging="360"/>
      </w:pPr>
    </w:lvl>
    <w:lvl w:ilvl="7" w:tplc="B25050B6">
      <w:start w:val="1"/>
      <w:numFmt w:val="decimal"/>
      <w:lvlText w:val="%8."/>
      <w:lvlJc w:val="left"/>
      <w:pPr>
        <w:ind w:left="1020" w:hanging="360"/>
      </w:pPr>
    </w:lvl>
    <w:lvl w:ilvl="8" w:tplc="BAAA8C72">
      <w:start w:val="1"/>
      <w:numFmt w:val="decimal"/>
      <w:lvlText w:val="%9."/>
      <w:lvlJc w:val="left"/>
      <w:pPr>
        <w:ind w:left="1020" w:hanging="360"/>
      </w:pPr>
    </w:lvl>
  </w:abstractNum>
  <w:abstractNum w:abstractNumId="82" w15:restartNumberingAfterBreak="0">
    <w:nsid w:val="3BA32AFA"/>
    <w:multiLevelType w:val="hybridMultilevel"/>
    <w:tmpl w:val="441C5E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F9A3197"/>
    <w:multiLevelType w:val="hybridMultilevel"/>
    <w:tmpl w:val="A0043590"/>
    <w:lvl w:ilvl="0" w:tplc="E08CFCDC">
      <w:start w:val="1"/>
      <w:numFmt w:val="decimal"/>
      <w:lvlText w:val="%1."/>
      <w:lvlJc w:val="left"/>
      <w:pPr>
        <w:ind w:left="1080" w:hanging="72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3D320B36">
      <w:start w:val="6"/>
      <w:numFmt w:val="bullet"/>
      <w:lvlText w:val="-"/>
      <w:lvlJc w:val="left"/>
      <w:pPr>
        <w:ind w:left="2880" w:hanging="360"/>
      </w:pPr>
      <w:rPr>
        <w:rFonts w:ascii="Times New Roman" w:eastAsia="Times New Roman" w:hAnsi="Times New Roman" w:cs="Times New Roman" w:hint="default"/>
        <w:color w:val="FF0000"/>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4" w15:restartNumberingAfterBreak="0">
    <w:nsid w:val="3FA55EF1"/>
    <w:multiLevelType w:val="hybridMultilevel"/>
    <w:tmpl w:val="A2ECB39E"/>
    <w:lvl w:ilvl="0" w:tplc="49B630C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0357580"/>
    <w:multiLevelType w:val="hybridMultilevel"/>
    <w:tmpl w:val="0C44D2F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6" w15:restartNumberingAfterBreak="0">
    <w:nsid w:val="41C43538"/>
    <w:multiLevelType w:val="hybridMultilevel"/>
    <w:tmpl w:val="E5F47C3A"/>
    <w:lvl w:ilvl="0" w:tplc="33EEB292">
      <w:numFmt w:val="none"/>
      <w:lvlText w:val=""/>
      <w:lvlJc w:val="left"/>
      <w:pPr>
        <w:tabs>
          <w:tab w:val="num" w:pos="360"/>
        </w:tabs>
      </w:pPr>
    </w:lvl>
    <w:lvl w:ilvl="1" w:tplc="06368774">
      <w:start w:val="1"/>
      <w:numFmt w:val="lowerLetter"/>
      <w:lvlText w:val="%2."/>
      <w:lvlJc w:val="left"/>
      <w:pPr>
        <w:ind w:left="1440" w:hanging="360"/>
      </w:pPr>
    </w:lvl>
    <w:lvl w:ilvl="2" w:tplc="08D4306A">
      <w:start w:val="1"/>
      <w:numFmt w:val="lowerRoman"/>
      <w:lvlText w:val="%3."/>
      <w:lvlJc w:val="right"/>
      <w:pPr>
        <w:ind w:left="2160" w:hanging="180"/>
      </w:pPr>
    </w:lvl>
    <w:lvl w:ilvl="3" w:tplc="DCBEF8E8">
      <w:start w:val="1"/>
      <w:numFmt w:val="decimal"/>
      <w:lvlText w:val="%4."/>
      <w:lvlJc w:val="left"/>
      <w:pPr>
        <w:ind w:left="2880" w:hanging="360"/>
      </w:pPr>
    </w:lvl>
    <w:lvl w:ilvl="4" w:tplc="7C9A8610">
      <w:start w:val="1"/>
      <w:numFmt w:val="lowerLetter"/>
      <w:lvlText w:val="%5."/>
      <w:lvlJc w:val="left"/>
      <w:pPr>
        <w:ind w:left="3600" w:hanging="360"/>
      </w:pPr>
    </w:lvl>
    <w:lvl w:ilvl="5" w:tplc="7BD4E564">
      <w:start w:val="1"/>
      <w:numFmt w:val="lowerRoman"/>
      <w:lvlText w:val="%6."/>
      <w:lvlJc w:val="right"/>
      <w:pPr>
        <w:ind w:left="4320" w:hanging="180"/>
      </w:pPr>
    </w:lvl>
    <w:lvl w:ilvl="6" w:tplc="EB3C00B4">
      <w:start w:val="1"/>
      <w:numFmt w:val="decimal"/>
      <w:lvlText w:val="%7."/>
      <w:lvlJc w:val="left"/>
      <w:pPr>
        <w:ind w:left="5040" w:hanging="360"/>
      </w:pPr>
    </w:lvl>
    <w:lvl w:ilvl="7" w:tplc="6C3A66E2">
      <w:start w:val="1"/>
      <w:numFmt w:val="lowerLetter"/>
      <w:lvlText w:val="%8."/>
      <w:lvlJc w:val="left"/>
      <w:pPr>
        <w:ind w:left="5760" w:hanging="360"/>
      </w:pPr>
    </w:lvl>
    <w:lvl w:ilvl="8" w:tplc="7E6A2CBA">
      <w:start w:val="1"/>
      <w:numFmt w:val="lowerRoman"/>
      <w:lvlText w:val="%9."/>
      <w:lvlJc w:val="right"/>
      <w:pPr>
        <w:ind w:left="6480" w:hanging="180"/>
      </w:pPr>
    </w:lvl>
  </w:abstractNum>
  <w:abstractNum w:abstractNumId="87" w15:restartNumberingAfterBreak="0">
    <w:nsid w:val="42713452"/>
    <w:multiLevelType w:val="singleLevel"/>
    <w:tmpl w:val="3B8CC7EA"/>
    <w:name w:val="Tiret 1"/>
    <w:lvl w:ilvl="0">
      <w:numFmt w:val="bullet"/>
      <w:pStyle w:val="Tiret1"/>
      <w:lvlText w:val="–"/>
      <w:lvlJc w:val="left"/>
      <w:pPr>
        <w:tabs>
          <w:tab w:val="num" w:pos="1417"/>
        </w:tabs>
        <w:ind w:left="1417" w:hanging="567"/>
      </w:pPr>
    </w:lvl>
  </w:abstractNum>
  <w:abstractNum w:abstractNumId="88" w15:restartNumberingAfterBreak="0">
    <w:nsid w:val="429E662A"/>
    <w:multiLevelType w:val="multilevel"/>
    <w:tmpl w:val="98740E9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9" w15:restartNumberingAfterBreak="0">
    <w:nsid w:val="42DA55E8"/>
    <w:multiLevelType w:val="hybridMultilevel"/>
    <w:tmpl w:val="C39E045A"/>
    <w:lvl w:ilvl="0" w:tplc="3D8ECE5A">
      <w:start w:val="1"/>
      <w:numFmt w:val="decimal"/>
      <w:lvlText w:val="(%1)"/>
      <w:lvlJc w:val="left"/>
      <w:pPr>
        <w:ind w:left="720" w:hanging="360"/>
      </w:pPr>
    </w:lvl>
    <w:lvl w:ilvl="1" w:tplc="10AC077E">
      <w:start w:val="1"/>
      <w:numFmt w:val="lowerLetter"/>
      <w:lvlText w:val="%2."/>
      <w:lvlJc w:val="left"/>
      <w:pPr>
        <w:ind w:left="1440" w:hanging="360"/>
      </w:pPr>
    </w:lvl>
    <w:lvl w:ilvl="2" w:tplc="F1AAC018">
      <w:start w:val="1"/>
      <w:numFmt w:val="lowerRoman"/>
      <w:lvlText w:val="%3."/>
      <w:lvlJc w:val="right"/>
      <w:pPr>
        <w:ind w:left="2160" w:hanging="180"/>
      </w:pPr>
    </w:lvl>
    <w:lvl w:ilvl="3" w:tplc="DB5E3AEC">
      <w:start w:val="1"/>
      <w:numFmt w:val="decimal"/>
      <w:lvlText w:val="%4."/>
      <w:lvlJc w:val="left"/>
      <w:pPr>
        <w:ind w:left="2880" w:hanging="360"/>
      </w:pPr>
    </w:lvl>
    <w:lvl w:ilvl="4" w:tplc="D85A7C60">
      <w:start w:val="1"/>
      <w:numFmt w:val="lowerLetter"/>
      <w:lvlText w:val="%5."/>
      <w:lvlJc w:val="left"/>
      <w:pPr>
        <w:ind w:left="3600" w:hanging="360"/>
      </w:pPr>
    </w:lvl>
    <w:lvl w:ilvl="5" w:tplc="CAB654DA">
      <w:start w:val="1"/>
      <w:numFmt w:val="lowerRoman"/>
      <w:lvlText w:val="%6."/>
      <w:lvlJc w:val="right"/>
      <w:pPr>
        <w:ind w:left="4320" w:hanging="180"/>
      </w:pPr>
    </w:lvl>
    <w:lvl w:ilvl="6" w:tplc="A9522F34">
      <w:start w:val="1"/>
      <w:numFmt w:val="decimal"/>
      <w:lvlText w:val="%7."/>
      <w:lvlJc w:val="left"/>
      <w:pPr>
        <w:ind w:left="5040" w:hanging="360"/>
      </w:pPr>
    </w:lvl>
    <w:lvl w:ilvl="7" w:tplc="5CDCF4A2">
      <w:start w:val="1"/>
      <w:numFmt w:val="lowerLetter"/>
      <w:lvlText w:val="%8."/>
      <w:lvlJc w:val="left"/>
      <w:pPr>
        <w:ind w:left="5760" w:hanging="360"/>
      </w:pPr>
    </w:lvl>
    <w:lvl w:ilvl="8" w:tplc="7E40E38A">
      <w:start w:val="1"/>
      <w:numFmt w:val="lowerRoman"/>
      <w:lvlText w:val="%9."/>
      <w:lvlJc w:val="right"/>
      <w:pPr>
        <w:ind w:left="6480" w:hanging="180"/>
      </w:pPr>
    </w:lvl>
  </w:abstractNum>
  <w:abstractNum w:abstractNumId="90" w15:restartNumberingAfterBreak="0">
    <w:nsid w:val="42FC0772"/>
    <w:multiLevelType w:val="singleLevel"/>
    <w:tmpl w:val="4128FCF8"/>
    <w:name w:val="Tiret 4"/>
    <w:lvl w:ilvl="0">
      <w:numFmt w:val="bullet"/>
      <w:pStyle w:val="Tiret4"/>
      <w:lvlText w:val="–"/>
      <w:lvlJc w:val="left"/>
      <w:pPr>
        <w:tabs>
          <w:tab w:val="num" w:pos="3118"/>
        </w:tabs>
        <w:ind w:left="3118" w:hanging="567"/>
      </w:pPr>
    </w:lvl>
  </w:abstractNum>
  <w:abstractNum w:abstractNumId="91" w15:restartNumberingAfterBreak="0">
    <w:nsid w:val="42FC077D"/>
    <w:multiLevelType w:val="singleLevel"/>
    <w:tmpl w:val="4128FD03"/>
    <w:name w:val="Tiret 5"/>
    <w:lvl w:ilvl="0">
      <w:numFmt w:val="bullet"/>
      <w:pStyle w:val="Tiret5"/>
      <w:lvlText w:val="–"/>
      <w:lvlJc w:val="left"/>
      <w:pPr>
        <w:tabs>
          <w:tab w:val="num" w:pos="3118"/>
        </w:tabs>
        <w:ind w:left="3118" w:hanging="567"/>
      </w:pPr>
    </w:lvl>
  </w:abstractNum>
  <w:abstractNum w:abstractNumId="92" w15:restartNumberingAfterBreak="0">
    <w:nsid w:val="43722F39"/>
    <w:multiLevelType w:val="hybridMultilevel"/>
    <w:tmpl w:val="5E4612F4"/>
    <w:lvl w:ilvl="0" w:tplc="FFFFFFFF">
      <w:start w:val="1"/>
      <w:numFmt w:val="decimal"/>
      <w:lvlText w:val="%1."/>
      <w:lvlJc w:val="left"/>
      <w:pPr>
        <w:ind w:left="1562" w:hanging="360"/>
      </w:pPr>
      <w:rPr>
        <w:rFonts w:hint="default"/>
      </w:rPr>
    </w:lvl>
    <w:lvl w:ilvl="1" w:tplc="FFFFFFFF" w:tentative="1">
      <w:start w:val="1"/>
      <w:numFmt w:val="lowerLetter"/>
      <w:lvlText w:val="%2."/>
      <w:lvlJc w:val="left"/>
      <w:pPr>
        <w:ind w:left="2282" w:hanging="360"/>
      </w:pPr>
    </w:lvl>
    <w:lvl w:ilvl="2" w:tplc="FFFFFFFF" w:tentative="1">
      <w:start w:val="1"/>
      <w:numFmt w:val="lowerRoman"/>
      <w:lvlText w:val="%3."/>
      <w:lvlJc w:val="right"/>
      <w:pPr>
        <w:ind w:left="3002" w:hanging="180"/>
      </w:pPr>
    </w:lvl>
    <w:lvl w:ilvl="3" w:tplc="FFFFFFFF" w:tentative="1">
      <w:start w:val="1"/>
      <w:numFmt w:val="decimal"/>
      <w:lvlText w:val="%4."/>
      <w:lvlJc w:val="left"/>
      <w:pPr>
        <w:ind w:left="3722" w:hanging="360"/>
      </w:pPr>
    </w:lvl>
    <w:lvl w:ilvl="4" w:tplc="FFFFFFFF" w:tentative="1">
      <w:start w:val="1"/>
      <w:numFmt w:val="lowerLetter"/>
      <w:lvlText w:val="%5."/>
      <w:lvlJc w:val="left"/>
      <w:pPr>
        <w:ind w:left="4442" w:hanging="360"/>
      </w:pPr>
    </w:lvl>
    <w:lvl w:ilvl="5" w:tplc="FFFFFFFF" w:tentative="1">
      <w:start w:val="1"/>
      <w:numFmt w:val="lowerRoman"/>
      <w:lvlText w:val="%6."/>
      <w:lvlJc w:val="right"/>
      <w:pPr>
        <w:ind w:left="5162" w:hanging="180"/>
      </w:pPr>
    </w:lvl>
    <w:lvl w:ilvl="6" w:tplc="FFFFFFFF" w:tentative="1">
      <w:start w:val="1"/>
      <w:numFmt w:val="decimal"/>
      <w:lvlText w:val="%7."/>
      <w:lvlJc w:val="left"/>
      <w:pPr>
        <w:ind w:left="5882" w:hanging="360"/>
      </w:pPr>
    </w:lvl>
    <w:lvl w:ilvl="7" w:tplc="FFFFFFFF" w:tentative="1">
      <w:start w:val="1"/>
      <w:numFmt w:val="lowerLetter"/>
      <w:lvlText w:val="%8."/>
      <w:lvlJc w:val="left"/>
      <w:pPr>
        <w:ind w:left="6602" w:hanging="360"/>
      </w:pPr>
    </w:lvl>
    <w:lvl w:ilvl="8" w:tplc="FFFFFFFF" w:tentative="1">
      <w:start w:val="1"/>
      <w:numFmt w:val="lowerRoman"/>
      <w:lvlText w:val="%9."/>
      <w:lvlJc w:val="right"/>
      <w:pPr>
        <w:ind w:left="7322" w:hanging="180"/>
      </w:pPr>
    </w:lvl>
  </w:abstractNum>
  <w:abstractNum w:abstractNumId="93" w15:restartNumberingAfterBreak="0">
    <w:nsid w:val="4434302A"/>
    <w:multiLevelType w:val="hybridMultilevel"/>
    <w:tmpl w:val="D840C14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4552127F"/>
    <w:multiLevelType w:val="singleLevel"/>
    <w:tmpl w:val="057A5296"/>
    <w:name w:val="Bullet 0"/>
    <w:lvl w:ilvl="0">
      <w:numFmt w:val="bullet"/>
      <w:pStyle w:val="Bullet0"/>
      <w:lvlText w:val=""/>
      <w:lvlJc w:val="left"/>
      <w:pPr>
        <w:tabs>
          <w:tab w:val="num" w:pos="850"/>
        </w:tabs>
        <w:ind w:left="850" w:hanging="850"/>
      </w:pPr>
      <w:rPr>
        <w:rFonts w:ascii="Symbol" w:hAnsi="Symbol"/>
      </w:rPr>
    </w:lvl>
  </w:abstractNum>
  <w:abstractNum w:abstractNumId="95" w15:restartNumberingAfterBreak="0">
    <w:nsid w:val="464C0508"/>
    <w:multiLevelType w:val="multilevel"/>
    <w:tmpl w:val="4C1AFF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6" w15:restartNumberingAfterBreak="0">
    <w:nsid w:val="467A751B"/>
    <w:multiLevelType w:val="hybridMultilevel"/>
    <w:tmpl w:val="BA386ABA"/>
    <w:lvl w:ilvl="0" w:tplc="04090003">
      <w:start w:val="1"/>
      <w:numFmt w:val="bullet"/>
      <w:lvlText w:val="o"/>
      <w:lvlJc w:val="left"/>
      <w:pPr>
        <w:ind w:left="990" w:hanging="360"/>
      </w:pPr>
      <w:rPr>
        <w:rFonts w:ascii="Courier New" w:hAnsi="Courier New" w:cs="Courier New"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7" w15:restartNumberingAfterBreak="0">
    <w:nsid w:val="47530F61"/>
    <w:multiLevelType w:val="hybridMultilevel"/>
    <w:tmpl w:val="F1CCCE98"/>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8082F4F"/>
    <w:multiLevelType w:val="hybridMultilevel"/>
    <w:tmpl w:val="355A2B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A7A6FE5"/>
    <w:multiLevelType w:val="hybridMultilevel"/>
    <w:tmpl w:val="F3AE20A2"/>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0" w15:restartNumberingAfterBreak="0">
    <w:nsid w:val="4D6F5ECE"/>
    <w:multiLevelType w:val="hybridMultilevel"/>
    <w:tmpl w:val="BE58E3EE"/>
    <w:lvl w:ilvl="0" w:tplc="BB925D68">
      <w:start w:val="2"/>
      <w:numFmt w:val="lowerRoman"/>
      <w:lvlText w:val="%1)"/>
      <w:lvlJc w:val="left"/>
      <w:pPr>
        <w:ind w:left="1080" w:hanging="720"/>
      </w:pPr>
      <w:rPr>
        <w:rFonts w:eastAsia="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D8708C6"/>
    <w:multiLevelType w:val="multilevel"/>
    <w:tmpl w:val="296CA0F0"/>
    <w:lvl w:ilvl="0">
      <w:start w:val="1"/>
      <w:numFmt w:val="lowerLetter"/>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1417"/>
        </w:tabs>
        <w:ind w:left="1417" w:hanging="1417"/>
      </w:pPr>
      <w:rPr>
        <w:rFonts w:hint="default"/>
      </w:rPr>
    </w:lvl>
    <w:lvl w:ilvl="5">
      <w:start w:val="1"/>
      <w:numFmt w:val="decimal"/>
      <w:lvlText w:val="%1.%2.%3.%4.%5.%6."/>
      <w:lvlJc w:val="left"/>
      <w:pPr>
        <w:tabs>
          <w:tab w:val="num" w:pos="1417"/>
        </w:tabs>
        <w:ind w:left="1417" w:hanging="1417"/>
      </w:pPr>
      <w:rPr>
        <w:rFonts w:hint="default"/>
      </w:rPr>
    </w:lvl>
    <w:lvl w:ilvl="6">
      <w:start w:val="1"/>
      <w:numFmt w:val="decimal"/>
      <w:lvlText w:val="%1.%2.%3.%4.%5.%6.%7."/>
      <w:lvlJc w:val="left"/>
      <w:pPr>
        <w:tabs>
          <w:tab w:val="num" w:pos="1417"/>
        </w:tabs>
        <w:ind w:left="1417" w:hanging="1417"/>
      </w:pPr>
      <w:rPr>
        <w:rFonts w:hint="default"/>
      </w:rPr>
    </w:lvl>
    <w:lvl w:ilvl="7">
      <w:start w:val="1"/>
      <w:numFmt w:val="decimal"/>
      <w:lvlText w:val="%1.%2.%3.%4.%5.%6.%7."/>
      <w:lvlJc w:val="left"/>
      <w:pPr>
        <w:tabs>
          <w:tab w:val="num" w:pos="1417"/>
        </w:tabs>
        <w:ind w:left="1417" w:hanging="1417"/>
      </w:pPr>
      <w:rPr>
        <w:rFonts w:hint="default"/>
      </w:rPr>
    </w:lvl>
    <w:lvl w:ilvl="8">
      <w:start w:val="1"/>
      <w:numFmt w:val="decimal"/>
      <w:lvlText w:val="%1.%2.%3.%4.%5.%6.%7."/>
      <w:lvlJc w:val="left"/>
      <w:pPr>
        <w:tabs>
          <w:tab w:val="num" w:pos="1417"/>
        </w:tabs>
        <w:ind w:left="1417" w:hanging="1417"/>
      </w:pPr>
      <w:rPr>
        <w:rFonts w:hint="default"/>
      </w:rPr>
    </w:lvl>
  </w:abstractNum>
  <w:abstractNum w:abstractNumId="102" w15:restartNumberingAfterBreak="0">
    <w:nsid w:val="4E1A63DF"/>
    <w:multiLevelType w:val="multilevel"/>
    <w:tmpl w:val="888C076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3" w15:restartNumberingAfterBreak="0">
    <w:nsid w:val="4E1A982C"/>
    <w:multiLevelType w:val="multilevel"/>
    <w:tmpl w:val="D8E0A4C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4" w15:restartNumberingAfterBreak="0">
    <w:nsid w:val="4EF37A8E"/>
    <w:multiLevelType w:val="multilevel"/>
    <w:tmpl w:val="F26A95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5" w15:restartNumberingAfterBreak="0">
    <w:nsid w:val="4F605436"/>
    <w:multiLevelType w:val="hybridMultilevel"/>
    <w:tmpl w:val="E1A6264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06" w15:restartNumberingAfterBreak="0">
    <w:nsid w:val="4FFD71B1"/>
    <w:multiLevelType w:val="hybridMultilevel"/>
    <w:tmpl w:val="6A8839CC"/>
    <w:lvl w:ilvl="0" w:tplc="A18E60F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072619B"/>
    <w:multiLevelType w:val="multilevel"/>
    <w:tmpl w:val="12F0FC8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8" w15:restartNumberingAfterBreak="0">
    <w:nsid w:val="50729B52"/>
    <w:multiLevelType w:val="multilevel"/>
    <w:tmpl w:val="535C5E8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9" w15:restartNumberingAfterBreak="0">
    <w:nsid w:val="51D81DA0"/>
    <w:multiLevelType w:val="multilevel"/>
    <w:tmpl w:val="18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15:restartNumberingAfterBreak="0">
    <w:nsid w:val="52956CB1"/>
    <w:multiLevelType w:val="multilevel"/>
    <w:tmpl w:val="1E9EFCD6"/>
    <w:lvl w:ilvl="0">
      <w:start w:val="1"/>
      <w:numFmt w:val="decimal"/>
      <w:lvlText w:val="%1."/>
      <w:lvlJc w:val="left"/>
      <w:pPr>
        <w:tabs>
          <w:tab w:val="num" w:pos="850"/>
        </w:tabs>
        <w:ind w:left="850" w:hanging="850"/>
      </w:pPr>
      <w:rPr>
        <w:rFonts w:hint="default"/>
      </w:rPr>
    </w:lvl>
    <w:lvl w:ilvl="1">
      <w:start w:val="1"/>
      <w:numFmt w:val="lowerLetter"/>
      <w:lvlText w:val="%2)"/>
      <w:lvlJc w:val="left"/>
      <w:pPr>
        <w:ind w:left="360" w:hanging="360"/>
      </w:p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1417"/>
        </w:tabs>
        <w:ind w:left="1417" w:hanging="1417"/>
      </w:pPr>
      <w:rPr>
        <w:rFonts w:hint="default"/>
      </w:rPr>
    </w:lvl>
    <w:lvl w:ilvl="5">
      <w:start w:val="1"/>
      <w:numFmt w:val="decimal"/>
      <w:lvlText w:val="%1.%2.%3.%4.%5.%6."/>
      <w:lvlJc w:val="left"/>
      <w:pPr>
        <w:tabs>
          <w:tab w:val="num" w:pos="1417"/>
        </w:tabs>
        <w:ind w:left="1417" w:hanging="1417"/>
      </w:pPr>
      <w:rPr>
        <w:rFonts w:hint="default"/>
      </w:rPr>
    </w:lvl>
    <w:lvl w:ilvl="6">
      <w:start w:val="1"/>
      <w:numFmt w:val="decimal"/>
      <w:lvlText w:val="%1.%2.%3.%4.%5.%6.%7."/>
      <w:lvlJc w:val="left"/>
      <w:pPr>
        <w:tabs>
          <w:tab w:val="num" w:pos="1417"/>
        </w:tabs>
        <w:ind w:left="1417" w:hanging="1417"/>
      </w:pPr>
      <w:rPr>
        <w:rFonts w:hint="default"/>
      </w:rPr>
    </w:lvl>
    <w:lvl w:ilvl="7">
      <w:start w:val="1"/>
      <w:numFmt w:val="decimal"/>
      <w:lvlText w:val="%1.%2.%3.%4.%5.%6.%7."/>
      <w:lvlJc w:val="left"/>
      <w:pPr>
        <w:tabs>
          <w:tab w:val="num" w:pos="1417"/>
        </w:tabs>
        <w:ind w:left="1417" w:hanging="1417"/>
      </w:pPr>
      <w:rPr>
        <w:rFonts w:hint="default"/>
      </w:rPr>
    </w:lvl>
    <w:lvl w:ilvl="8">
      <w:start w:val="1"/>
      <w:numFmt w:val="decimal"/>
      <w:lvlText w:val="%1.%2.%3.%4.%5.%6.%7."/>
      <w:lvlJc w:val="left"/>
      <w:pPr>
        <w:tabs>
          <w:tab w:val="num" w:pos="1417"/>
        </w:tabs>
        <w:ind w:left="1417" w:hanging="1417"/>
      </w:pPr>
      <w:rPr>
        <w:rFonts w:hint="default"/>
      </w:rPr>
    </w:lvl>
  </w:abstractNum>
  <w:abstractNum w:abstractNumId="111" w15:restartNumberingAfterBreak="0">
    <w:nsid w:val="532F7686"/>
    <w:multiLevelType w:val="hybridMultilevel"/>
    <w:tmpl w:val="2056CEA8"/>
    <w:lvl w:ilvl="0" w:tplc="18090001">
      <w:start w:val="4"/>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2" w15:restartNumberingAfterBreak="0">
    <w:nsid w:val="545C1B85"/>
    <w:multiLevelType w:val="hybridMultilevel"/>
    <w:tmpl w:val="5E4612F4"/>
    <w:lvl w:ilvl="0" w:tplc="EF7E5D08">
      <w:start w:val="1"/>
      <w:numFmt w:val="decimal"/>
      <w:lvlText w:val="%1."/>
      <w:lvlJc w:val="left"/>
      <w:pPr>
        <w:ind w:left="1562" w:hanging="360"/>
      </w:pPr>
      <w:rPr>
        <w:rFonts w:hint="default"/>
      </w:rPr>
    </w:lvl>
    <w:lvl w:ilvl="1" w:tplc="18090019" w:tentative="1">
      <w:start w:val="1"/>
      <w:numFmt w:val="lowerLetter"/>
      <w:lvlText w:val="%2."/>
      <w:lvlJc w:val="left"/>
      <w:pPr>
        <w:ind w:left="2282" w:hanging="360"/>
      </w:pPr>
    </w:lvl>
    <w:lvl w:ilvl="2" w:tplc="1809001B" w:tentative="1">
      <w:start w:val="1"/>
      <w:numFmt w:val="lowerRoman"/>
      <w:lvlText w:val="%3."/>
      <w:lvlJc w:val="right"/>
      <w:pPr>
        <w:ind w:left="3002" w:hanging="180"/>
      </w:pPr>
    </w:lvl>
    <w:lvl w:ilvl="3" w:tplc="1809000F" w:tentative="1">
      <w:start w:val="1"/>
      <w:numFmt w:val="decimal"/>
      <w:lvlText w:val="%4."/>
      <w:lvlJc w:val="left"/>
      <w:pPr>
        <w:ind w:left="3722" w:hanging="360"/>
      </w:pPr>
    </w:lvl>
    <w:lvl w:ilvl="4" w:tplc="18090019" w:tentative="1">
      <w:start w:val="1"/>
      <w:numFmt w:val="lowerLetter"/>
      <w:lvlText w:val="%5."/>
      <w:lvlJc w:val="left"/>
      <w:pPr>
        <w:ind w:left="4442" w:hanging="360"/>
      </w:pPr>
    </w:lvl>
    <w:lvl w:ilvl="5" w:tplc="1809001B" w:tentative="1">
      <w:start w:val="1"/>
      <w:numFmt w:val="lowerRoman"/>
      <w:lvlText w:val="%6."/>
      <w:lvlJc w:val="right"/>
      <w:pPr>
        <w:ind w:left="5162" w:hanging="180"/>
      </w:pPr>
    </w:lvl>
    <w:lvl w:ilvl="6" w:tplc="1809000F" w:tentative="1">
      <w:start w:val="1"/>
      <w:numFmt w:val="decimal"/>
      <w:lvlText w:val="%7."/>
      <w:lvlJc w:val="left"/>
      <w:pPr>
        <w:ind w:left="5882" w:hanging="360"/>
      </w:pPr>
    </w:lvl>
    <w:lvl w:ilvl="7" w:tplc="18090019" w:tentative="1">
      <w:start w:val="1"/>
      <w:numFmt w:val="lowerLetter"/>
      <w:lvlText w:val="%8."/>
      <w:lvlJc w:val="left"/>
      <w:pPr>
        <w:ind w:left="6602" w:hanging="360"/>
      </w:pPr>
    </w:lvl>
    <w:lvl w:ilvl="8" w:tplc="1809001B" w:tentative="1">
      <w:start w:val="1"/>
      <w:numFmt w:val="lowerRoman"/>
      <w:lvlText w:val="%9."/>
      <w:lvlJc w:val="right"/>
      <w:pPr>
        <w:ind w:left="7322" w:hanging="180"/>
      </w:pPr>
    </w:lvl>
  </w:abstractNum>
  <w:abstractNum w:abstractNumId="113" w15:restartNumberingAfterBreak="0">
    <w:nsid w:val="552A6944"/>
    <w:multiLevelType w:val="multilevel"/>
    <w:tmpl w:val="54245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56A7A41"/>
    <w:multiLevelType w:val="hybridMultilevel"/>
    <w:tmpl w:val="E6B07D1C"/>
    <w:lvl w:ilvl="0" w:tplc="4EBCED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56E1D63"/>
    <w:multiLevelType w:val="singleLevel"/>
    <w:tmpl w:val="493AAFF0"/>
    <w:name w:val="Bullet 4"/>
    <w:lvl w:ilvl="0">
      <w:numFmt w:val="bullet"/>
      <w:pStyle w:val="Bullet4"/>
      <w:lvlText w:val=""/>
      <w:lvlJc w:val="left"/>
      <w:pPr>
        <w:tabs>
          <w:tab w:val="num" w:pos="3118"/>
        </w:tabs>
        <w:ind w:left="3118" w:hanging="567"/>
      </w:pPr>
      <w:rPr>
        <w:rFonts w:ascii="Symbol" w:hAnsi="Symbol"/>
      </w:rPr>
    </w:lvl>
  </w:abstractNum>
  <w:abstractNum w:abstractNumId="116" w15:restartNumberingAfterBreak="0">
    <w:nsid w:val="558648FB"/>
    <w:multiLevelType w:val="hybridMultilevel"/>
    <w:tmpl w:val="F044098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569E29B8"/>
    <w:multiLevelType w:val="hybridMultilevel"/>
    <w:tmpl w:val="8078DCBE"/>
    <w:lvl w:ilvl="0" w:tplc="19146104">
      <w:start w:val="1"/>
      <w:numFmt w:val="bullet"/>
      <w:lvlText w:val=""/>
      <w:lvlJc w:val="left"/>
      <w:pPr>
        <w:ind w:left="1080" w:hanging="360"/>
      </w:pPr>
      <w:rPr>
        <w:rFonts w:ascii="Symbol" w:hAnsi="Symbol"/>
      </w:rPr>
    </w:lvl>
    <w:lvl w:ilvl="1" w:tplc="57E09CA0">
      <w:start w:val="1"/>
      <w:numFmt w:val="bullet"/>
      <w:lvlText w:val=""/>
      <w:lvlJc w:val="left"/>
      <w:pPr>
        <w:ind w:left="1080" w:hanging="360"/>
      </w:pPr>
      <w:rPr>
        <w:rFonts w:ascii="Symbol" w:hAnsi="Symbol"/>
      </w:rPr>
    </w:lvl>
    <w:lvl w:ilvl="2" w:tplc="314C82C8">
      <w:start w:val="1"/>
      <w:numFmt w:val="bullet"/>
      <w:lvlText w:val=""/>
      <w:lvlJc w:val="left"/>
      <w:pPr>
        <w:ind w:left="1080" w:hanging="360"/>
      </w:pPr>
      <w:rPr>
        <w:rFonts w:ascii="Symbol" w:hAnsi="Symbol"/>
      </w:rPr>
    </w:lvl>
    <w:lvl w:ilvl="3" w:tplc="DB5037E6">
      <w:start w:val="1"/>
      <w:numFmt w:val="bullet"/>
      <w:lvlText w:val=""/>
      <w:lvlJc w:val="left"/>
      <w:pPr>
        <w:ind w:left="1080" w:hanging="360"/>
      </w:pPr>
      <w:rPr>
        <w:rFonts w:ascii="Symbol" w:hAnsi="Symbol"/>
      </w:rPr>
    </w:lvl>
    <w:lvl w:ilvl="4" w:tplc="C1346F6C">
      <w:start w:val="1"/>
      <w:numFmt w:val="bullet"/>
      <w:lvlText w:val=""/>
      <w:lvlJc w:val="left"/>
      <w:pPr>
        <w:ind w:left="1080" w:hanging="360"/>
      </w:pPr>
      <w:rPr>
        <w:rFonts w:ascii="Symbol" w:hAnsi="Symbol"/>
      </w:rPr>
    </w:lvl>
    <w:lvl w:ilvl="5" w:tplc="0180FE6A">
      <w:start w:val="1"/>
      <w:numFmt w:val="bullet"/>
      <w:lvlText w:val=""/>
      <w:lvlJc w:val="left"/>
      <w:pPr>
        <w:ind w:left="1080" w:hanging="360"/>
      </w:pPr>
      <w:rPr>
        <w:rFonts w:ascii="Symbol" w:hAnsi="Symbol"/>
      </w:rPr>
    </w:lvl>
    <w:lvl w:ilvl="6" w:tplc="C23CEF0A">
      <w:start w:val="1"/>
      <w:numFmt w:val="bullet"/>
      <w:lvlText w:val=""/>
      <w:lvlJc w:val="left"/>
      <w:pPr>
        <w:ind w:left="1080" w:hanging="360"/>
      </w:pPr>
      <w:rPr>
        <w:rFonts w:ascii="Symbol" w:hAnsi="Symbol"/>
      </w:rPr>
    </w:lvl>
    <w:lvl w:ilvl="7" w:tplc="D952C434">
      <w:start w:val="1"/>
      <w:numFmt w:val="bullet"/>
      <w:lvlText w:val=""/>
      <w:lvlJc w:val="left"/>
      <w:pPr>
        <w:ind w:left="1080" w:hanging="360"/>
      </w:pPr>
      <w:rPr>
        <w:rFonts w:ascii="Symbol" w:hAnsi="Symbol"/>
      </w:rPr>
    </w:lvl>
    <w:lvl w:ilvl="8" w:tplc="88D02946">
      <w:start w:val="1"/>
      <w:numFmt w:val="bullet"/>
      <w:lvlText w:val=""/>
      <w:lvlJc w:val="left"/>
      <w:pPr>
        <w:ind w:left="1080" w:hanging="360"/>
      </w:pPr>
      <w:rPr>
        <w:rFonts w:ascii="Symbol" w:hAnsi="Symbol"/>
      </w:rPr>
    </w:lvl>
  </w:abstractNum>
  <w:abstractNum w:abstractNumId="118" w15:restartNumberingAfterBreak="0">
    <w:nsid w:val="56FC3E9F"/>
    <w:multiLevelType w:val="hybridMultilevel"/>
    <w:tmpl w:val="1CF2F5BA"/>
    <w:lvl w:ilvl="0" w:tplc="80A6C828">
      <w:numFmt w:val="none"/>
      <w:lvlText w:val=""/>
      <w:lvlJc w:val="left"/>
      <w:pPr>
        <w:tabs>
          <w:tab w:val="num" w:pos="360"/>
        </w:tabs>
      </w:pPr>
    </w:lvl>
    <w:lvl w:ilvl="1" w:tplc="6248E486">
      <w:start w:val="1"/>
      <w:numFmt w:val="lowerLetter"/>
      <w:lvlText w:val="%2."/>
      <w:lvlJc w:val="left"/>
      <w:pPr>
        <w:ind w:left="1440" w:hanging="360"/>
      </w:pPr>
    </w:lvl>
    <w:lvl w:ilvl="2" w:tplc="8F30A8FE">
      <w:start w:val="1"/>
      <w:numFmt w:val="lowerRoman"/>
      <w:lvlText w:val="%3."/>
      <w:lvlJc w:val="right"/>
      <w:pPr>
        <w:ind w:left="2160" w:hanging="180"/>
      </w:pPr>
    </w:lvl>
    <w:lvl w:ilvl="3" w:tplc="A2F06860">
      <w:start w:val="1"/>
      <w:numFmt w:val="decimal"/>
      <w:lvlText w:val="%4."/>
      <w:lvlJc w:val="left"/>
      <w:pPr>
        <w:ind w:left="2880" w:hanging="360"/>
      </w:pPr>
    </w:lvl>
    <w:lvl w:ilvl="4" w:tplc="A48623CA">
      <w:start w:val="1"/>
      <w:numFmt w:val="lowerLetter"/>
      <w:lvlText w:val="%5."/>
      <w:lvlJc w:val="left"/>
      <w:pPr>
        <w:ind w:left="3600" w:hanging="360"/>
      </w:pPr>
    </w:lvl>
    <w:lvl w:ilvl="5" w:tplc="574EAD00">
      <w:start w:val="1"/>
      <w:numFmt w:val="lowerRoman"/>
      <w:lvlText w:val="%6."/>
      <w:lvlJc w:val="right"/>
      <w:pPr>
        <w:ind w:left="4320" w:hanging="180"/>
      </w:pPr>
    </w:lvl>
    <w:lvl w:ilvl="6" w:tplc="66B47670">
      <w:start w:val="1"/>
      <w:numFmt w:val="decimal"/>
      <w:lvlText w:val="%7."/>
      <w:lvlJc w:val="left"/>
      <w:pPr>
        <w:ind w:left="5040" w:hanging="360"/>
      </w:pPr>
    </w:lvl>
    <w:lvl w:ilvl="7" w:tplc="0C742E9A">
      <w:start w:val="1"/>
      <w:numFmt w:val="lowerLetter"/>
      <w:lvlText w:val="%8."/>
      <w:lvlJc w:val="left"/>
      <w:pPr>
        <w:ind w:left="5760" w:hanging="360"/>
      </w:pPr>
    </w:lvl>
    <w:lvl w:ilvl="8" w:tplc="30302B88">
      <w:start w:val="1"/>
      <w:numFmt w:val="lowerRoman"/>
      <w:lvlText w:val="%9."/>
      <w:lvlJc w:val="right"/>
      <w:pPr>
        <w:ind w:left="6480" w:hanging="180"/>
      </w:pPr>
    </w:lvl>
  </w:abstractNum>
  <w:abstractNum w:abstractNumId="119" w15:restartNumberingAfterBreak="0">
    <w:nsid w:val="579254B3"/>
    <w:multiLevelType w:val="hybridMultilevel"/>
    <w:tmpl w:val="17AA5B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0" w15:restartNumberingAfterBreak="0">
    <w:nsid w:val="57D960B1"/>
    <w:multiLevelType w:val="hybridMultilevel"/>
    <w:tmpl w:val="2B32A76C"/>
    <w:lvl w:ilvl="0" w:tplc="76F4D54A">
      <w:start w:val="1"/>
      <w:numFmt w:val="lowerLetter"/>
      <w:lvlText w:val="%1)"/>
      <w:lvlJc w:val="left"/>
      <w:pPr>
        <w:ind w:left="1210" w:hanging="360"/>
      </w:pPr>
      <w:rPr>
        <w:rFonts w:ascii="Times New Roman" w:eastAsia="Times New Roman" w:hAnsi="Times New Roman" w:cs="Times New Roman"/>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1" w15:restartNumberingAfterBreak="0">
    <w:nsid w:val="58C2646F"/>
    <w:multiLevelType w:val="hybridMultilevel"/>
    <w:tmpl w:val="A844AC9E"/>
    <w:lvl w:ilvl="0" w:tplc="A18E60F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59AA29F4"/>
    <w:multiLevelType w:val="hybridMultilevel"/>
    <w:tmpl w:val="D9D2DB16"/>
    <w:lvl w:ilvl="0" w:tplc="3EAE000A">
      <w:start w:val="1"/>
      <w:numFmt w:val="bullet"/>
      <w:lvlText w:val="-"/>
      <w:lvlJc w:val="left"/>
      <w:pPr>
        <w:ind w:left="720" w:hanging="360"/>
      </w:pPr>
      <w:rPr>
        <w:rFonts w:ascii="Times New Roman" w:eastAsia="Times New Roman"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3" w15:restartNumberingAfterBreak="0">
    <w:nsid w:val="59D45403"/>
    <w:multiLevelType w:val="hybridMultilevel"/>
    <w:tmpl w:val="6D3031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4" w15:restartNumberingAfterBreak="0">
    <w:nsid w:val="5AFF424E"/>
    <w:multiLevelType w:val="hybridMultilevel"/>
    <w:tmpl w:val="5E4612F4"/>
    <w:lvl w:ilvl="0" w:tplc="FFFFFFFF">
      <w:start w:val="1"/>
      <w:numFmt w:val="decimal"/>
      <w:lvlText w:val="%1."/>
      <w:lvlJc w:val="left"/>
      <w:pPr>
        <w:ind w:left="1562" w:hanging="360"/>
      </w:pPr>
      <w:rPr>
        <w:rFonts w:hint="default"/>
      </w:rPr>
    </w:lvl>
    <w:lvl w:ilvl="1" w:tplc="FFFFFFFF" w:tentative="1">
      <w:start w:val="1"/>
      <w:numFmt w:val="lowerLetter"/>
      <w:lvlText w:val="%2."/>
      <w:lvlJc w:val="left"/>
      <w:pPr>
        <w:ind w:left="2282" w:hanging="360"/>
      </w:pPr>
    </w:lvl>
    <w:lvl w:ilvl="2" w:tplc="FFFFFFFF" w:tentative="1">
      <w:start w:val="1"/>
      <w:numFmt w:val="lowerRoman"/>
      <w:lvlText w:val="%3."/>
      <w:lvlJc w:val="right"/>
      <w:pPr>
        <w:ind w:left="3002" w:hanging="180"/>
      </w:pPr>
    </w:lvl>
    <w:lvl w:ilvl="3" w:tplc="FFFFFFFF" w:tentative="1">
      <w:start w:val="1"/>
      <w:numFmt w:val="decimal"/>
      <w:lvlText w:val="%4."/>
      <w:lvlJc w:val="left"/>
      <w:pPr>
        <w:ind w:left="3722" w:hanging="360"/>
      </w:pPr>
    </w:lvl>
    <w:lvl w:ilvl="4" w:tplc="FFFFFFFF" w:tentative="1">
      <w:start w:val="1"/>
      <w:numFmt w:val="lowerLetter"/>
      <w:lvlText w:val="%5."/>
      <w:lvlJc w:val="left"/>
      <w:pPr>
        <w:ind w:left="4442" w:hanging="360"/>
      </w:pPr>
    </w:lvl>
    <w:lvl w:ilvl="5" w:tplc="FFFFFFFF" w:tentative="1">
      <w:start w:val="1"/>
      <w:numFmt w:val="lowerRoman"/>
      <w:lvlText w:val="%6."/>
      <w:lvlJc w:val="right"/>
      <w:pPr>
        <w:ind w:left="5162" w:hanging="180"/>
      </w:pPr>
    </w:lvl>
    <w:lvl w:ilvl="6" w:tplc="FFFFFFFF" w:tentative="1">
      <w:start w:val="1"/>
      <w:numFmt w:val="decimal"/>
      <w:lvlText w:val="%7."/>
      <w:lvlJc w:val="left"/>
      <w:pPr>
        <w:ind w:left="5882" w:hanging="360"/>
      </w:pPr>
    </w:lvl>
    <w:lvl w:ilvl="7" w:tplc="FFFFFFFF" w:tentative="1">
      <w:start w:val="1"/>
      <w:numFmt w:val="lowerLetter"/>
      <w:lvlText w:val="%8."/>
      <w:lvlJc w:val="left"/>
      <w:pPr>
        <w:ind w:left="6602" w:hanging="360"/>
      </w:pPr>
    </w:lvl>
    <w:lvl w:ilvl="8" w:tplc="FFFFFFFF" w:tentative="1">
      <w:start w:val="1"/>
      <w:numFmt w:val="lowerRoman"/>
      <w:lvlText w:val="%9."/>
      <w:lvlJc w:val="right"/>
      <w:pPr>
        <w:ind w:left="7322" w:hanging="180"/>
      </w:pPr>
    </w:lvl>
  </w:abstractNum>
  <w:abstractNum w:abstractNumId="125" w15:restartNumberingAfterBreak="0">
    <w:nsid w:val="5B395AAA"/>
    <w:multiLevelType w:val="singleLevel"/>
    <w:tmpl w:val="18090001"/>
    <w:lvl w:ilvl="0">
      <w:start w:val="1"/>
      <w:numFmt w:val="bullet"/>
      <w:lvlText w:val=""/>
      <w:lvlJc w:val="left"/>
      <w:pPr>
        <w:ind w:left="720" w:hanging="360"/>
      </w:pPr>
      <w:rPr>
        <w:rFonts w:ascii="Symbol" w:hAnsi="Symbol" w:hint="default"/>
      </w:rPr>
    </w:lvl>
  </w:abstractNum>
  <w:abstractNum w:abstractNumId="126" w15:restartNumberingAfterBreak="0">
    <w:nsid w:val="5C056EE5"/>
    <w:multiLevelType w:val="singleLevel"/>
    <w:tmpl w:val="3378D27C"/>
    <w:name w:val="Bullet 2"/>
    <w:lvl w:ilvl="0">
      <w:numFmt w:val="bullet"/>
      <w:pStyle w:val="Bullet2"/>
      <w:lvlText w:val=""/>
      <w:lvlJc w:val="left"/>
      <w:pPr>
        <w:tabs>
          <w:tab w:val="num" w:pos="1984"/>
        </w:tabs>
        <w:ind w:left="1984" w:hanging="567"/>
      </w:pPr>
      <w:rPr>
        <w:rFonts w:ascii="Symbol" w:hAnsi="Symbol"/>
      </w:rPr>
    </w:lvl>
  </w:abstractNum>
  <w:abstractNum w:abstractNumId="127" w15:restartNumberingAfterBreak="0">
    <w:nsid w:val="5C5021FC"/>
    <w:multiLevelType w:val="hybridMultilevel"/>
    <w:tmpl w:val="EDDCD2CA"/>
    <w:lvl w:ilvl="0" w:tplc="0CCA16F8">
      <w:start w:val="1"/>
      <w:numFmt w:val="bullet"/>
      <w:lvlText w:val=""/>
      <w:lvlJc w:val="left"/>
      <w:pPr>
        <w:ind w:left="720" w:hanging="360"/>
      </w:pPr>
      <w:rPr>
        <w:rFonts w:ascii="Symbol" w:hAnsi="Symbol" w:hint="default"/>
      </w:rPr>
    </w:lvl>
    <w:lvl w:ilvl="1" w:tplc="ACDCF90E">
      <w:numFmt w:val="bullet"/>
      <w:lvlText w:val="–"/>
      <w:lvlJc w:val="left"/>
      <w:pPr>
        <w:ind w:left="1440" w:hanging="360"/>
      </w:pPr>
      <w:rPr>
        <w:rFonts w:ascii="Symbol" w:hAnsi="Symbol" w:hint="default"/>
      </w:rPr>
    </w:lvl>
    <w:lvl w:ilvl="2" w:tplc="3A2E862C">
      <w:start w:val="1"/>
      <w:numFmt w:val="bullet"/>
      <w:lvlText w:val=""/>
      <w:lvlJc w:val="left"/>
      <w:pPr>
        <w:ind w:left="2160" w:hanging="360"/>
      </w:pPr>
      <w:rPr>
        <w:rFonts w:ascii="Wingdings" w:hAnsi="Wingdings" w:hint="default"/>
      </w:rPr>
    </w:lvl>
    <w:lvl w:ilvl="3" w:tplc="E7263454">
      <w:start w:val="1"/>
      <w:numFmt w:val="bullet"/>
      <w:lvlText w:val=""/>
      <w:lvlJc w:val="left"/>
      <w:pPr>
        <w:ind w:left="2880" w:hanging="360"/>
      </w:pPr>
      <w:rPr>
        <w:rFonts w:ascii="Symbol" w:hAnsi="Symbol" w:hint="default"/>
      </w:rPr>
    </w:lvl>
    <w:lvl w:ilvl="4" w:tplc="FDD207C4">
      <w:start w:val="1"/>
      <w:numFmt w:val="bullet"/>
      <w:lvlText w:val="o"/>
      <w:lvlJc w:val="left"/>
      <w:pPr>
        <w:ind w:left="3600" w:hanging="360"/>
      </w:pPr>
      <w:rPr>
        <w:rFonts w:ascii="Courier New" w:hAnsi="Courier New" w:hint="default"/>
      </w:rPr>
    </w:lvl>
    <w:lvl w:ilvl="5" w:tplc="24147E04">
      <w:start w:val="1"/>
      <w:numFmt w:val="bullet"/>
      <w:lvlText w:val=""/>
      <w:lvlJc w:val="left"/>
      <w:pPr>
        <w:ind w:left="4320" w:hanging="360"/>
      </w:pPr>
      <w:rPr>
        <w:rFonts w:ascii="Wingdings" w:hAnsi="Wingdings" w:hint="default"/>
      </w:rPr>
    </w:lvl>
    <w:lvl w:ilvl="6" w:tplc="D0D4F832">
      <w:start w:val="1"/>
      <w:numFmt w:val="bullet"/>
      <w:lvlText w:val=""/>
      <w:lvlJc w:val="left"/>
      <w:pPr>
        <w:ind w:left="5040" w:hanging="360"/>
      </w:pPr>
      <w:rPr>
        <w:rFonts w:ascii="Symbol" w:hAnsi="Symbol" w:hint="default"/>
      </w:rPr>
    </w:lvl>
    <w:lvl w:ilvl="7" w:tplc="5504DBE4">
      <w:start w:val="1"/>
      <w:numFmt w:val="bullet"/>
      <w:lvlText w:val="o"/>
      <w:lvlJc w:val="left"/>
      <w:pPr>
        <w:ind w:left="5760" w:hanging="360"/>
      </w:pPr>
      <w:rPr>
        <w:rFonts w:ascii="Courier New" w:hAnsi="Courier New" w:hint="default"/>
      </w:rPr>
    </w:lvl>
    <w:lvl w:ilvl="8" w:tplc="54E69132">
      <w:start w:val="1"/>
      <w:numFmt w:val="bullet"/>
      <w:lvlText w:val=""/>
      <w:lvlJc w:val="left"/>
      <w:pPr>
        <w:ind w:left="6480" w:hanging="360"/>
      </w:pPr>
      <w:rPr>
        <w:rFonts w:ascii="Wingdings" w:hAnsi="Wingdings" w:hint="default"/>
      </w:rPr>
    </w:lvl>
  </w:abstractNum>
  <w:abstractNum w:abstractNumId="128" w15:restartNumberingAfterBreak="0">
    <w:nsid w:val="5C6606D0"/>
    <w:multiLevelType w:val="multilevel"/>
    <w:tmpl w:val="34D420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9" w15:restartNumberingAfterBreak="0">
    <w:nsid w:val="5CA31A15"/>
    <w:multiLevelType w:val="singleLevel"/>
    <w:tmpl w:val="CB981644"/>
    <w:name w:val="Tiret 0"/>
    <w:lvl w:ilvl="0">
      <w:numFmt w:val="bullet"/>
      <w:pStyle w:val="Tiret0"/>
      <w:lvlText w:val="–"/>
      <w:lvlJc w:val="left"/>
      <w:pPr>
        <w:tabs>
          <w:tab w:val="num" w:pos="850"/>
        </w:tabs>
        <w:ind w:left="850" w:hanging="850"/>
      </w:pPr>
    </w:lvl>
  </w:abstractNum>
  <w:abstractNum w:abstractNumId="130" w15:restartNumberingAfterBreak="0">
    <w:nsid w:val="5D5D768C"/>
    <w:multiLevelType w:val="hybridMultilevel"/>
    <w:tmpl w:val="D938F8DC"/>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1" w15:restartNumberingAfterBreak="0">
    <w:nsid w:val="5D792848"/>
    <w:multiLevelType w:val="hybridMultilevel"/>
    <w:tmpl w:val="DC6EFC6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04744D8"/>
    <w:multiLevelType w:val="hybridMultilevel"/>
    <w:tmpl w:val="83ACD782"/>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6056133D"/>
    <w:multiLevelType w:val="multilevel"/>
    <w:tmpl w:val="68A633E4"/>
    <w:styleLink w:val="NumbListMinorBullet"/>
    <w:lvl w:ilvl="0">
      <w:start w:val="1"/>
      <w:numFmt w:val="bullet"/>
      <w:pStyle w:val="MinorBullet1"/>
      <w:lvlText w:val=""/>
      <w:lvlJc w:val="left"/>
      <w:pPr>
        <w:tabs>
          <w:tab w:val="num" w:pos="794"/>
        </w:tabs>
        <w:ind w:left="794" w:hanging="363"/>
      </w:pPr>
      <w:rPr>
        <w:rFonts w:ascii="Wingdings 2" w:hAnsi="Wingdings 2" w:hint="default"/>
        <w:color w:val="0E2841" w:themeColor="text2"/>
        <w:sz w:val="12"/>
      </w:rPr>
    </w:lvl>
    <w:lvl w:ilvl="1">
      <w:start w:val="1"/>
      <w:numFmt w:val="bullet"/>
      <w:pStyle w:val="MinorBullet2"/>
      <w:lvlText w:val=""/>
      <w:lvlJc w:val="left"/>
      <w:pPr>
        <w:tabs>
          <w:tab w:val="num" w:pos="1157"/>
        </w:tabs>
        <w:ind w:left="1157" w:hanging="363"/>
      </w:pPr>
      <w:rPr>
        <w:rFonts w:ascii="Wingdings 2" w:hAnsi="Wingdings 2" w:hint="default"/>
        <w:color w:val="0E2841" w:themeColor="text2"/>
        <w:sz w:val="12"/>
      </w:rPr>
    </w:lvl>
    <w:lvl w:ilvl="2">
      <w:start w:val="1"/>
      <w:numFmt w:val="bullet"/>
      <w:pStyle w:val="MinorBullet3"/>
      <w:lvlText w:val="̶"/>
      <w:lvlJc w:val="left"/>
      <w:pPr>
        <w:tabs>
          <w:tab w:val="num" w:pos="1520"/>
        </w:tabs>
        <w:ind w:left="1520" w:hanging="363"/>
      </w:pPr>
      <w:rPr>
        <w:rFonts w:ascii="Calibri" w:hAnsi="Calibri" w:hint="default"/>
        <w:color w:val="0E2841" w:themeColor="text2"/>
        <w:sz w:val="12"/>
      </w:rPr>
    </w:lvl>
    <w:lvl w:ilvl="3">
      <w:start w:val="1"/>
      <w:numFmt w:val="none"/>
      <w:lvlText w:val=""/>
      <w:lvlJc w:val="left"/>
      <w:pPr>
        <w:tabs>
          <w:tab w:val="num" w:pos="1520"/>
        </w:tabs>
        <w:ind w:left="1520" w:firstLine="0"/>
      </w:pPr>
      <w:rPr>
        <w:rFonts w:hint="default"/>
      </w:rPr>
    </w:lvl>
    <w:lvl w:ilvl="4">
      <w:start w:val="1"/>
      <w:numFmt w:val="none"/>
      <w:lvlText w:val=""/>
      <w:lvlJc w:val="left"/>
      <w:pPr>
        <w:tabs>
          <w:tab w:val="num" w:pos="1520"/>
        </w:tabs>
        <w:ind w:left="1520" w:firstLine="0"/>
      </w:pPr>
      <w:rPr>
        <w:rFonts w:hint="default"/>
      </w:rPr>
    </w:lvl>
    <w:lvl w:ilvl="5">
      <w:start w:val="1"/>
      <w:numFmt w:val="none"/>
      <w:lvlText w:val=""/>
      <w:lvlJc w:val="left"/>
      <w:pPr>
        <w:tabs>
          <w:tab w:val="num" w:pos="1520"/>
        </w:tabs>
        <w:ind w:left="1520" w:firstLine="0"/>
      </w:pPr>
      <w:rPr>
        <w:rFonts w:hint="default"/>
      </w:rPr>
    </w:lvl>
    <w:lvl w:ilvl="6">
      <w:start w:val="1"/>
      <w:numFmt w:val="none"/>
      <w:lvlText w:val=""/>
      <w:lvlJc w:val="left"/>
      <w:pPr>
        <w:tabs>
          <w:tab w:val="num" w:pos="1520"/>
        </w:tabs>
        <w:ind w:left="1520" w:firstLine="0"/>
      </w:pPr>
      <w:rPr>
        <w:rFonts w:hint="default"/>
      </w:rPr>
    </w:lvl>
    <w:lvl w:ilvl="7">
      <w:start w:val="1"/>
      <w:numFmt w:val="none"/>
      <w:lvlText w:val=""/>
      <w:lvlJc w:val="left"/>
      <w:pPr>
        <w:tabs>
          <w:tab w:val="num" w:pos="1520"/>
        </w:tabs>
        <w:ind w:left="1520" w:firstLine="0"/>
      </w:pPr>
      <w:rPr>
        <w:rFonts w:hint="default"/>
      </w:rPr>
    </w:lvl>
    <w:lvl w:ilvl="8">
      <w:start w:val="1"/>
      <w:numFmt w:val="none"/>
      <w:lvlText w:val=""/>
      <w:lvlJc w:val="left"/>
      <w:pPr>
        <w:tabs>
          <w:tab w:val="num" w:pos="1520"/>
        </w:tabs>
        <w:ind w:left="1520" w:firstLine="0"/>
      </w:pPr>
      <w:rPr>
        <w:rFonts w:hint="default"/>
      </w:rPr>
    </w:lvl>
  </w:abstractNum>
  <w:abstractNum w:abstractNumId="134" w15:restartNumberingAfterBreak="0">
    <w:nsid w:val="61681E6C"/>
    <w:multiLevelType w:val="multilevel"/>
    <w:tmpl w:val="7CAE8A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5" w15:restartNumberingAfterBreak="0">
    <w:nsid w:val="61E728C1"/>
    <w:multiLevelType w:val="hybridMultilevel"/>
    <w:tmpl w:val="D17CFA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23A2137"/>
    <w:multiLevelType w:val="hybridMultilevel"/>
    <w:tmpl w:val="5596B44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64A12FA4"/>
    <w:multiLevelType w:val="multilevel"/>
    <w:tmpl w:val="428ECF3E"/>
    <w:name w:val="Heading"/>
    <w:lvl w:ilvl="0">
      <w:start w:val="1"/>
      <w:numFmt w:val="decimal"/>
      <w:pStyle w:val="Heading1"/>
      <w:lvlText w:val="%1."/>
      <w:lvlJc w:val="left"/>
      <w:pPr>
        <w:tabs>
          <w:tab w:val="num" w:pos="850"/>
        </w:tabs>
        <w:ind w:left="850" w:hanging="850"/>
      </w:pPr>
      <w:rPr>
        <w:rFonts w:hint="default"/>
      </w:rPr>
    </w:lvl>
    <w:lvl w:ilvl="1">
      <w:start w:val="1"/>
      <w:numFmt w:val="decimal"/>
      <w:pStyle w:val="Heading2"/>
      <w:lvlText w:val="%1.%2."/>
      <w:lvlJc w:val="left"/>
      <w:pPr>
        <w:tabs>
          <w:tab w:val="num" w:pos="850"/>
        </w:tabs>
        <w:ind w:left="850" w:hanging="850"/>
      </w:pPr>
      <w:rPr>
        <w:rFonts w:hint="default"/>
      </w:rPr>
    </w:lvl>
    <w:lvl w:ilvl="2">
      <w:start w:val="1"/>
      <w:numFmt w:val="decimal"/>
      <w:pStyle w:val="Heading3"/>
      <w:lvlText w:val="%1.%2.%3."/>
      <w:lvlJc w:val="left"/>
      <w:pPr>
        <w:tabs>
          <w:tab w:val="num" w:pos="1133"/>
        </w:tabs>
        <w:ind w:left="1133" w:hanging="850"/>
      </w:pPr>
      <w:rPr>
        <w:rFonts w:hint="default"/>
      </w:rPr>
    </w:lvl>
    <w:lvl w:ilvl="3">
      <w:start w:val="1"/>
      <w:numFmt w:val="decimal"/>
      <w:pStyle w:val="Heading4"/>
      <w:lvlText w:val="%1.%2.%3.%4."/>
      <w:lvlJc w:val="left"/>
      <w:pPr>
        <w:tabs>
          <w:tab w:val="num" w:pos="850"/>
        </w:tabs>
        <w:ind w:left="850" w:hanging="850"/>
      </w:pPr>
      <w:rPr>
        <w:rFonts w:hint="default"/>
      </w:rPr>
    </w:lvl>
    <w:lvl w:ilvl="4">
      <w:start w:val="1"/>
      <w:numFmt w:val="decimal"/>
      <w:pStyle w:val="Heading5"/>
      <w:lvlText w:val="%1.%2.%3.%4.%5."/>
      <w:lvlJc w:val="left"/>
      <w:pPr>
        <w:tabs>
          <w:tab w:val="num" w:pos="1417"/>
        </w:tabs>
        <w:ind w:left="1417" w:hanging="1417"/>
      </w:pPr>
      <w:rPr>
        <w:rFonts w:hint="default"/>
      </w:rPr>
    </w:lvl>
    <w:lvl w:ilvl="5">
      <w:start w:val="1"/>
      <w:numFmt w:val="decimal"/>
      <w:pStyle w:val="Heading6"/>
      <w:lvlText w:val="%1.%2.%3.%4.%5.%6."/>
      <w:lvlJc w:val="left"/>
      <w:pPr>
        <w:tabs>
          <w:tab w:val="num" w:pos="1417"/>
        </w:tabs>
        <w:ind w:left="1417" w:hanging="1417"/>
      </w:pPr>
      <w:rPr>
        <w:rFonts w:hint="default"/>
      </w:rPr>
    </w:lvl>
    <w:lvl w:ilvl="6">
      <w:start w:val="1"/>
      <w:numFmt w:val="decimal"/>
      <w:pStyle w:val="Heading7"/>
      <w:lvlText w:val="%1.%2.%3.%4.%5.%6.%7."/>
      <w:lvlJc w:val="left"/>
      <w:pPr>
        <w:tabs>
          <w:tab w:val="num" w:pos="1417"/>
        </w:tabs>
        <w:ind w:left="1417" w:hanging="1417"/>
      </w:pPr>
      <w:rPr>
        <w:rFonts w:hint="default"/>
      </w:rPr>
    </w:lvl>
    <w:lvl w:ilvl="7">
      <w:start w:val="1"/>
      <w:numFmt w:val="decimal"/>
      <w:pStyle w:val="Heading8"/>
      <w:lvlText w:val="%1.%2.%3.%4.%5.%6.%7."/>
      <w:lvlJc w:val="left"/>
      <w:pPr>
        <w:tabs>
          <w:tab w:val="num" w:pos="1417"/>
        </w:tabs>
        <w:ind w:left="1417" w:hanging="1417"/>
      </w:pPr>
      <w:rPr>
        <w:rFonts w:hint="default"/>
      </w:rPr>
    </w:lvl>
    <w:lvl w:ilvl="8">
      <w:start w:val="1"/>
      <w:numFmt w:val="decimal"/>
      <w:pStyle w:val="Heading9"/>
      <w:lvlText w:val="%1.%2.%3.%4.%5.%6.%7."/>
      <w:lvlJc w:val="left"/>
      <w:pPr>
        <w:tabs>
          <w:tab w:val="num" w:pos="1417"/>
        </w:tabs>
        <w:ind w:left="1417" w:hanging="1417"/>
      </w:pPr>
      <w:rPr>
        <w:rFonts w:hint="default"/>
      </w:rPr>
    </w:lvl>
  </w:abstractNum>
  <w:abstractNum w:abstractNumId="138" w15:restartNumberingAfterBreak="0">
    <w:nsid w:val="64A96797"/>
    <w:multiLevelType w:val="hybridMultilevel"/>
    <w:tmpl w:val="A3907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4CE08C8"/>
    <w:multiLevelType w:val="hybridMultilevel"/>
    <w:tmpl w:val="7CC6534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64E91C65"/>
    <w:multiLevelType w:val="hybridMultilevel"/>
    <w:tmpl w:val="300C8D80"/>
    <w:lvl w:ilvl="0" w:tplc="FFFFFFFF">
      <w:start w:val="1"/>
      <w:numFmt w:val="lowerLetter"/>
      <w:lvlText w:val="%1)"/>
      <w:lvlJc w:val="left"/>
      <w:pPr>
        <w:ind w:left="1562" w:hanging="360"/>
      </w:pPr>
      <w:rPr>
        <w:rFonts w:hint="default"/>
      </w:rPr>
    </w:lvl>
    <w:lvl w:ilvl="1" w:tplc="FFFFFFFF">
      <w:start w:val="1"/>
      <w:numFmt w:val="lowerLetter"/>
      <w:lvlText w:val="%2."/>
      <w:lvlJc w:val="left"/>
      <w:pPr>
        <w:ind w:left="2282" w:hanging="360"/>
      </w:pPr>
    </w:lvl>
    <w:lvl w:ilvl="2" w:tplc="FFFFFFFF" w:tentative="1">
      <w:start w:val="1"/>
      <w:numFmt w:val="lowerRoman"/>
      <w:lvlText w:val="%3."/>
      <w:lvlJc w:val="right"/>
      <w:pPr>
        <w:ind w:left="3002" w:hanging="180"/>
      </w:pPr>
    </w:lvl>
    <w:lvl w:ilvl="3" w:tplc="FFFFFFFF" w:tentative="1">
      <w:start w:val="1"/>
      <w:numFmt w:val="decimal"/>
      <w:lvlText w:val="%4."/>
      <w:lvlJc w:val="left"/>
      <w:pPr>
        <w:ind w:left="3722" w:hanging="360"/>
      </w:pPr>
    </w:lvl>
    <w:lvl w:ilvl="4" w:tplc="FFFFFFFF" w:tentative="1">
      <w:start w:val="1"/>
      <w:numFmt w:val="lowerLetter"/>
      <w:lvlText w:val="%5."/>
      <w:lvlJc w:val="left"/>
      <w:pPr>
        <w:ind w:left="4442" w:hanging="360"/>
      </w:pPr>
    </w:lvl>
    <w:lvl w:ilvl="5" w:tplc="FFFFFFFF" w:tentative="1">
      <w:start w:val="1"/>
      <w:numFmt w:val="lowerRoman"/>
      <w:lvlText w:val="%6."/>
      <w:lvlJc w:val="right"/>
      <w:pPr>
        <w:ind w:left="5162" w:hanging="180"/>
      </w:pPr>
    </w:lvl>
    <w:lvl w:ilvl="6" w:tplc="FFFFFFFF" w:tentative="1">
      <w:start w:val="1"/>
      <w:numFmt w:val="decimal"/>
      <w:lvlText w:val="%7."/>
      <w:lvlJc w:val="left"/>
      <w:pPr>
        <w:ind w:left="5882" w:hanging="360"/>
      </w:pPr>
    </w:lvl>
    <w:lvl w:ilvl="7" w:tplc="FFFFFFFF" w:tentative="1">
      <w:start w:val="1"/>
      <w:numFmt w:val="lowerLetter"/>
      <w:lvlText w:val="%8."/>
      <w:lvlJc w:val="left"/>
      <w:pPr>
        <w:ind w:left="6602" w:hanging="360"/>
      </w:pPr>
    </w:lvl>
    <w:lvl w:ilvl="8" w:tplc="FFFFFFFF" w:tentative="1">
      <w:start w:val="1"/>
      <w:numFmt w:val="lowerRoman"/>
      <w:lvlText w:val="%9."/>
      <w:lvlJc w:val="right"/>
      <w:pPr>
        <w:ind w:left="7322" w:hanging="180"/>
      </w:pPr>
    </w:lvl>
  </w:abstractNum>
  <w:abstractNum w:abstractNumId="141" w15:restartNumberingAfterBreak="0">
    <w:nsid w:val="658B55FE"/>
    <w:multiLevelType w:val="hybridMultilevel"/>
    <w:tmpl w:val="73A273C2"/>
    <w:lvl w:ilvl="0" w:tplc="507AC13E">
      <w:numFmt w:val="none"/>
      <w:lvlText w:val=""/>
      <w:lvlJc w:val="left"/>
      <w:pPr>
        <w:tabs>
          <w:tab w:val="num" w:pos="360"/>
        </w:tabs>
      </w:pPr>
    </w:lvl>
    <w:lvl w:ilvl="1" w:tplc="1A6630F0">
      <w:start w:val="1"/>
      <w:numFmt w:val="lowerLetter"/>
      <w:lvlText w:val="%2."/>
      <w:lvlJc w:val="left"/>
      <w:pPr>
        <w:ind w:left="1440" w:hanging="360"/>
      </w:pPr>
    </w:lvl>
    <w:lvl w:ilvl="2" w:tplc="EE5CCCD8">
      <w:start w:val="1"/>
      <w:numFmt w:val="lowerRoman"/>
      <w:lvlText w:val="%3."/>
      <w:lvlJc w:val="right"/>
      <w:pPr>
        <w:ind w:left="2160" w:hanging="180"/>
      </w:pPr>
    </w:lvl>
    <w:lvl w:ilvl="3" w:tplc="2344542A">
      <w:start w:val="1"/>
      <w:numFmt w:val="decimal"/>
      <w:lvlText w:val="%4."/>
      <w:lvlJc w:val="left"/>
      <w:pPr>
        <w:ind w:left="2880" w:hanging="360"/>
      </w:pPr>
    </w:lvl>
    <w:lvl w:ilvl="4" w:tplc="561E3B8C">
      <w:start w:val="1"/>
      <w:numFmt w:val="lowerLetter"/>
      <w:lvlText w:val="%5."/>
      <w:lvlJc w:val="left"/>
      <w:pPr>
        <w:ind w:left="3600" w:hanging="360"/>
      </w:pPr>
    </w:lvl>
    <w:lvl w:ilvl="5" w:tplc="F5AA216E">
      <w:start w:val="1"/>
      <w:numFmt w:val="lowerRoman"/>
      <w:lvlText w:val="%6."/>
      <w:lvlJc w:val="right"/>
      <w:pPr>
        <w:ind w:left="4320" w:hanging="180"/>
      </w:pPr>
    </w:lvl>
    <w:lvl w:ilvl="6" w:tplc="CEA89236">
      <w:start w:val="1"/>
      <w:numFmt w:val="decimal"/>
      <w:lvlText w:val="%7."/>
      <w:lvlJc w:val="left"/>
      <w:pPr>
        <w:ind w:left="5040" w:hanging="360"/>
      </w:pPr>
    </w:lvl>
    <w:lvl w:ilvl="7" w:tplc="8C2E5766">
      <w:start w:val="1"/>
      <w:numFmt w:val="lowerLetter"/>
      <w:lvlText w:val="%8."/>
      <w:lvlJc w:val="left"/>
      <w:pPr>
        <w:ind w:left="5760" w:hanging="360"/>
      </w:pPr>
    </w:lvl>
    <w:lvl w:ilvl="8" w:tplc="70F6EE0A">
      <w:start w:val="1"/>
      <w:numFmt w:val="lowerRoman"/>
      <w:lvlText w:val="%9."/>
      <w:lvlJc w:val="right"/>
      <w:pPr>
        <w:ind w:left="6480" w:hanging="180"/>
      </w:pPr>
    </w:lvl>
  </w:abstractNum>
  <w:abstractNum w:abstractNumId="142" w15:restartNumberingAfterBreak="0">
    <w:nsid w:val="67882B1E"/>
    <w:multiLevelType w:val="multilevel"/>
    <w:tmpl w:val="C62C12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3" w15:restartNumberingAfterBreak="0">
    <w:nsid w:val="67B856F6"/>
    <w:multiLevelType w:val="singleLevel"/>
    <w:tmpl w:val="0AB28E9C"/>
    <w:name w:val="Tiret 2"/>
    <w:lvl w:ilvl="0">
      <w:numFmt w:val="bullet"/>
      <w:pStyle w:val="Tiret2"/>
      <w:lvlText w:val="–"/>
      <w:lvlJc w:val="left"/>
      <w:pPr>
        <w:tabs>
          <w:tab w:val="num" w:pos="1984"/>
        </w:tabs>
        <w:ind w:left="1984" w:hanging="567"/>
      </w:pPr>
    </w:lvl>
  </w:abstractNum>
  <w:abstractNum w:abstractNumId="144" w15:restartNumberingAfterBreak="0">
    <w:nsid w:val="68AA0ED1"/>
    <w:multiLevelType w:val="hybridMultilevel"/>
    <w:tmpl w:val="2C7042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977472E"/>
    <w:multiLevelType w:val="multilevel"/>
    <w:tmpl w:val="F1B8DCA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6" w15:restartNumberingAfterBreak="0">
    <w:nsid w:val="69792115"/>
    <w:multiLevelType w:val="hybridMultilevel"/>
    <w:tmpl w:val="664CF6C8"/>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9AD4F65"/>
    <w:multiLevelType w:val="hybridMultilevel"/>
    <w:tmpl w:val="5378A552"/>
    <w:lvl w:ilvl="0" w:tplc="E3608128">
      <w:start w:val="1"/>
      <w:numFmt w:val="bullet"/>
      <w:lvlText w:val=""/>
      <w:lvlJc w:val="left"/>
      <w:pPr>
        <w:ind w:left="720" w:hanging="360"/>
      </w:pPr>
      <w:rPr>
        <w:rFonts w:ascii="Symbol" w:hAnsi="Symbol" w:hint="default"/>
      </w:rPr>
    </w:lvl>
    <w:lvl w:ilvl="1" w:tplc="5B00A294">
      <w:numFmt w:val="bullet"/>
      <w:lvlText w:val="–"/>
      <w:lvlJc w:val="left"/>
      <w:pPr>
        <w:ind w:left="1440" w:hanging="360"/>
      </w:pPr>
      <w:rPr>
        <w:rFonts w:ascii="Symbol" w:hAnsi="Symbol" w:hint="default"/>
      </w:rPr>
    </w:lvl>
    <w:lvl w:ilvl="2" w:tplc="85D265D2">
      <w:start w:val="1"/>
      <w:numFmt w:val="bullet"/>
      <w:lvlText w:val=""/>
      <w:lvlJc w:val="left"/>
      <w:pPr>
        <w:ind w:left="2160" w:hanging="360"/>
      </w:pPr>
      <w:rPr>
        <w:rFonts w:ascii="Wingdings" w:hAnsi="Wingdings" w:hint="default"/>
      </w:rPr>
    </w:lvl>
    <w:lvl w:ilvl="3" w:tplc="A3CC594E">
      <w:start w:val="1"/>
      <w:numFmt w:val="bullet"/>
      <w:lvlText w:val=""/>
      <w:lvlJc w:val="left"/>
      <w:pPr>
        <w:ind w:left="2880" w:hanging="360"/>
      </w:pPr>
      <w:rPr>
        <w:rFonts w:ascii="Symbol" w:hAnsi="Symbol" w:hint="default"/>
      </w:rPr>
    </w:lvl>
    <w:lvl w:ilvl="4" w:tplc="636A5576">
      <w:start w:val="1"/>
      <w:numFmt w:val="bullet"/>
      <w:lvlText w:val="o"/>
      <w:lvlJc w:val="left"/>
      <w:pPr>
        <w:ind w:left="3600" w:hanging="360"/>
      </w:pPr>
      <w:rPr>
        <w:rFonts w:ascii="Courier New" w:hAnsi="Courier New" w:hint="default"/>
      </w:rPr>
    </w:lvl>
    <w:lvl w:ilvl="5" w:tplc="F5CAF276">
      <w:start w:val="1"/>
      <w:numFmt w:val="bullet"/>
      <w:lvlText w:val=""/>
      <w:lvlJc w:val="left"/>
      <w:pPr>
        <w:ind w:left="4320" w:hanging="360"/>
      </w:pPr>
      <w:rPr>
        <w:rFonts w:ascii="Wingdings" w:hAnsi="Wingdings" w:hint="default"/>
      </w:rPr>
    </w:lvl>
    <w:lvl w:ilvl="6" w:tplc="39B8BDB4">
      <w:start w:val="1"/>
      <w:numFmt w:val="bullet"/>
      <w:lvlText w:val=""/>
      <w:lvlJc w:val="left"/>
      <w:pPr>
        <w:ind w:left="5040" w:hanging="360"/>
      </w:pPr>
      <w:rPr>
        <w:rFonts w:ascii="Symbol" w:hAnsi="Symbol" w:hint="default"/>
      </w:rPr>
    </w:lvl>
    <w:lvl w:ilvl="7" w:tplc="32EE1C42">
      <w:start w:val="1"/>
      <w:numFmt w:val="bullet"/>
      <w:lvlText w:val="o"/>
      <w:lvlJc w:val="left"/>
      <w:pPr>
        <w:ind w:left="5760" w:hanging="360"/>
      </w:pPr>
      <w:rPr>
        <w:rFonts w:ascii="Courier New" w:hAnsi="Courier New" w:hint="default"/>
      </w:rPr>
    </w:lvl>
    <w:lvl w:ilvl="8" w:tplc="56CC5B28">
      <w:start w:val="1"/>
      <w:numFmt w:val="bullet"/>
      <w:lvlText w:val=""/>
      <w:lvlJc w:val="left"/>
      <w:pPr>
        <w:ind w:left="6480" w:hanging="360"/>
      </w:pPr>
      <w:rPr>
        <w:rFonts w:ascii="Wingdings" w:hAnsi="Wingdings" w:hint="default"/>
      </w:rPr>
    </w:lvl>
  </w:abstractNum>
  <w:abstractNum w:abstractNumId="148" w15:restartNumberingAfterBreak="0">
    <w:nsid w:val="69DC7946"/>
    <w:multiLevelType w:val="hybridMultilevel"/>
    <w:tmpl w:val="C6F2C61C"/>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6A6D25F7"/>
    <w:multiLevelType w:val="hybridMultilevel"/>
    <w:tmpl w:val="B5366BA8"/>
    <w:lvl w:ilvl="0" w:tplc="18090001">
      <w:start w:val="1"/>
      <w:numFmt w:val="bullet"/>
      <w:lvlText w:val=""/>
      <w:lvlJc w:val="left"/>
      <w:pPr>
        <w:ind w:left="720" w:hanging="360"/>
      </w:pPr>
      <w:rPr>
        <w:rFonts w:ascii="Symbol" w:hAnsi="Symbol"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0" w15:restartNumberingAfterBreak="0">
    <w:nsid w:val="6ADE2595"/>
    <w:multiLevelType w:val="hybridMultilevel"/>
    <w:tmpl w:val="F718FF96"/>
    <w:lvl w:ilvl="0" w:tplc="D16E25A4">
      <w:start w:val="1"/>
      <w:numFmt w:val="bullet"/>
      <w:lvlText w:val="•"/>
      <w:lvlJc w:val="left"/>
      <w:pPr>
        <w:tabs>
          <w:tab w:val="num" w:pos="1080"/>
        </w:tabs>
        <w:ind w:left="1080" w:hanging="360"/>
      </w:pPr>
      <w:rPr>
        <w:rFonts w:ascii="Arial" w:hAnsi="Arial" w:hint="default"/>
      </w:rPr>
    </w:lvl>
    <w:lvl w:ilvl="1" w:tplc="5F70BE70" w:tentative="1">
      <w:start w:val="1"/>
      <w:numFmt w:val="bullet"/>
      <w:lvlText w:val="•"/>
      <w:lvlJc w:val="left"/>
      <w:pPr>
        <w:tabs>
          <w:tab w:val="num" w:pos="1800"/>
        </w:tabs>
        <w:ind w:left="1800" w:hanging="360"/>
      </w:pPr>
      <w:rPr>
        <w:rFonts w:ascii="Arial" w:hAnsi="Arial" w:hint="default"/>
      </w:rPr>
    </w:lvl>
    <w:lvl w:ilvl="2" w:tplc="56880540" w:tentative="1">
      <w:start w:val="1"/>
      <w:numFmt w:val="bullet"/>
      <w:lvlText w:val="•"/>
      <w:lvlJc w:val="left"/>
      <w:pPr>
        <w:tabs>
          <w:tab w:val="num" w:pos="2520"/>
        </w:tabs>
        <w:ind w:left="2520" w:hanging="360"/>
      </w:pPr>
      <w:rPr>
        <w:rFonts w:ascii="Arial" w:hAnsi="Arial" w:hint="default"/>
      </w:rPr>
    </w:lvl>
    <w:lvl w:ilvl="3" w:tplc="DDA0D012" w:tentative="1">
      <w:start w:val="1"/>
      <w:numFmt w:val="bullet"/>
      <w:lvlText w:val="•"/>
      <w:lvlJc w:val="left"/>
      <w:pPr>
        <w:tabs>
          <w:tab w:val="num" w:pos="3240"/>
        </w:tabs>
        <w:ind w:left="3240" w:hanging="360"/>
      </w:pPr>
      <w:rPr>
        <w:rFonts w:ascii="Arial" w:hAnsi="Arial" w:hint="default"/>
      </w:rPr>
    </w:lvl>
    <w:lvl w:ilvl="4" w:tplc="C1600E66" w:tentative="1">
      <w:start w:val="1"/>
      <w:numFmt w:val="bullet"/>
      <w:lvlText w:val="•"/>
      <w:lvlJc w:val="left"/>
      <w:pPr>
        <w:tabs>
          <w:tab w:val="num" w:pos="3960"/>
        </w:tabs>
        <w:ind w:left="3960" w:hanging="360"/>
      </w:pPr>
      <w:rPr>
        <w:rFonts w:ascii="Arial" w:hAnsi="Arial" w:hint="default"/>
      </w:rPr>
    </w:lvl>
    <w:lvl w:ilvl="5" w:tplc="9D647402" w:tentative="1">
      <w:start w:val="1"/>
      <w:numFmt w:val="bullet"/>
      <w:lvlText w:val="•"/>
      <w:lvlJc w:val="left"/>
      <w:pPr>
        <w:tabs>
          <w:tab w:val="num" w:pos="4680"/>
        </w:tabs>
        <w:ind w:left="4680" w:hanging="360"/>
      </w:pPr>
      <w:rPr>
        <w:rFonts w:ascii="Arial" w:hAnsi="Arial" w:hint="default"/>
      </w:rPr>
    </w:lvl>
    <w:lvl w:ilvl="6" w:tplc="118A322A" w:tentative="1">
      <w:start w:val="1"/>
      <w:numFmt w:val="bullet"/>
      <w:lvlText w:val="•"/>
      <w:lvlJc w:val="left"/>
      <w:pPr>
        <w:tabs>
          <w:tab w:val="num" w:pos="5400"/>
        </w:tabs>
        <w:ind w:left="5400" w:hanging="360"/>
      </w:pPr>
      <w:rPr>
        <w:rFonts w:ascii="Arial" w:hAnsi="Arial" w:hint="default"/>
      </w:rPr>
    </w:lvl>
    <w:lvl w:ilvl="7" w:tplc="D1DECB92" w:tentative="1">
      <w:start w:val="1"/>
      <w:numFmt w:val="bullet"/>
      <w:lvlText w:val="•"/>
      <w:lvlJc w:val="left"/>
      <w:pPr>
        <w:tabs>
          <w:tab w:val="num" w:pos="6120"/>
        </w:tabs>
        <w:ind w:left="6120" w:hanging="360"/>
      </w:pPr>
      <w:rPr>
        <w:rFonts w:ascii="Arial" w:hAnsi="Arial" w:hint="default"/>
      </w:rPr>
    </w:lvl>
    <w:lvl w:ilvl="8" w:tplc="57829BC2" w:tentative="1">
      <w:start w:val="1"/>
      <w:numFmt w:val="bullet"/>
      <w:lvlText w:val="•"/>
      <w:lvlJc w:val="left"/>
      <w:pPr>
        <w:tabs>
          <w:tab w:val="num" w:pos="6840"/>
        </w:tabs>
        <w:ind w:left="6840" w:hanging="360"/>
      </w:pPr>
      <w:rPr>
        <w:rFonts w:ascii="Arial" w:hAnsi="Arial" w:hint="default"/>
      </w:rPr>
    </w:lvl>
  </w:abstractNum>
  <w:abstractNum w:abstractNumId="151" w15:restartNumberingAfterBreak="0">
    <w:nsid w:val="6B880293"/>
    <w:multiLevelType w:val="hybridMultilevel"/>
    <w:tmpl w:val="01EE52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CBC40D7"/>
    <w:multiLevelType w:val="hybridMultilevel"/>
    <w:tmpl w:val="5596B446"/>
    <w:lvl w:ilvl="0" w:tplc="9DEE25B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3" w15:restartNumberingAfterBreak="0">
    <w:nsid w:val="6DB517B7"/>
    <w:multiLevelType w:val="hybridMultilevel"/>
    <w:tmpl w:val="90ACA98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4" w15:restartNumberingAfterBreak="0">
    <w:nsid w:val="702F0EA9"/>
    <w:multiLevelType w:val="hybridMultilevel"/>
    <w:tmpl w:val="18E08CC6"/>
    <w:lvl w:ilvl="0" w:tplc="18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705C5995"/>
    <w:multiLevelType w:val="multilevel"/>
    <w:tmpl w:val="CB480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1E073FF"/>
    <w:multiLevelType w:val="multilevel"/>
    <w:tmpl w:val="A78EA5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7" w15:restartNumberingAfterBreak="0">
    <w:nsid w:val="737A6714"/>
    <w:multiLevelType w:val="hybridMultilevel"/>
    <w:tmpl w:val="4A7CD772"/>
    <w:lvl w:ilvl="0" w:tplc="BE6E24F6">
      <w:start w:val="3"/>
      <w:numFmt w:val="lowerLetter"/>
      <w:lvlText w:val="%1)"/>
      <w:lvlJc w:val="left"/>
      <w:pPr>
        <w:ind w:left="836" w:hanging="360"/>
      </w:pPr>
      <w:rPr>
        <w:rFonts w:hint="default"/>
      </w:rPr>
    </w:lvl>
    <w:lvl w:ilvl="1" w:tplc="04090019" w:tentative="1">
      <w:start w:val="1"/>
      <w:numFmt w:val="lowerLetter"/>
      <w:lvlText w:val="%2."/>
      <w:lvlJc w:val="left"/>
      <w:pPr>
        <w:ind w:left="1556" w:hanging="360"/>
      </w:pPr>
    </w:lvl>
    <w:lvl w:ilvl="2" w:tplc="0409001B" w:tentative="1">
      <w:start w:val="1"/>
      <w:numFmt w:val="lowerRoman"/>
      <w:lvlText w:val="%3."/>
      <w:lvlJc w:val="right"/>
      <w:pPr>
        <w:ind w:left="2276" w:hanging="180"/>
      </w:pPr>
    </w:lvl>
    <w:lvl w:ilvl="3" w:tplc="0409000F" w:tentative="1">
      <w:start w:val="1"/>
      <w:numFmt w:val="decimal"/>
      <w:lvlText w:val="%4."/>
      <w:lvlJc w:val="left"/>
      <w:pPr>
        <w:ind w:left="2996" w:hanging="360"/>
      </w:pPr>
    </w:lvl>
    <w:lvl w:ilvl="4" w:tplc="04090019" w:tentative="1">
      <w:start w:val="1"/>
      <w:numFmt w:val="lowerLetter"/>
      <w:lvlText w:val="%5."/>
      <w:lvlJc w:val="left"/>
      <w:pPr>
        <w:ind w:left="3716" w:hanging="360"/>
      </w:pPr>
    </w:lvl>
    <w:lvl w:ilvl="5" w:tplc="0409001B" w:tentative="1">
      <w:start w:val="1"/>
      <w:numFmt w:val="lowerRoman"/>
      <w:lvlText w:val="%6."/>
      <w:lvlJc w:val="right"/>
      <w:pPr>
        <w:ind w:left="4436" w:hanging="180"/>
      </w:pPr>
    </w:lvl>
    <w:lvl w:ilvl="6" w:tplc="0409000F" w:tentative="1">
      <w:start w:val="1"/>
      <w:numFmt w:val="decimal"/>
      <w:lvlText w:val="%7."/>
      <w:lvlJc w:val="left"/>
      <w:pPr>
        <w:ind w:left="5156" w:hanging="360"/>
      </w:pPr>
    </w:lvl>
    <w:lvl w:ilvl="7" w:tplc="04090019" w:tentative="1">
      <w:start w:val="1"/>
      <w:numFmt w:val="lowerLetter"/>
      <w:lvlText w:val="%8."/>
      <w:lvlJc w:val="left"/>
      <w:pPr>
        <w:ind w:left="5876" w:hanging="360"/>
      </w:pPr>
    </w:lvl>
    <w:lvl w:ilvl="8" w:tplc="0409001B" w:tentative="1">
      <w:start w:val="1"/>
      <w:numFmt w:val="lowerRoman"/>
      <w:lvlText w:val="%9."/>
      <w:lvlJc w:val="right"/>
      <w:pPr>
        <w:ind w:left="6596" w:hanging="180"/>
      </w:pPr>
    </w:lvl>
  </w:abstractNum>
  <w:abstractNum w:abstractNumId="158" w15:restartNumberingAfterBreak="0">
    <w:nsid w:val="74885590"/>
    <w:multiLevelType w:val="multilevel"/>
    <w:tmpl w:val="211ECDC0"/>
    <w:styleLink w:val="NumbListTable"/>
    <w:lvl w:ilvl="0">
      <w:start w:val="1"/>
      <w:numFmt w:val="decimal"/>
      <w:lvlText w:val="Table %1"/>
      <w:lvlJc w:val="left"/>
      <w:pPr>
        <w:tabs>
          <w:tab w:val="num" w:pos="3827"/>
        </w:tabs>
        <w:ind w:left="2693" w:firstLine="0"/>
      </w:pPr>
      <w:rPr>
        <w:rFonts w:hint="default"/>
      </w:rPr>
    </w:lvl>
    <w:lvl w:ilvl="1">
      <w:start w:val="1"/>
      <w:numFmt w:val="none"/>
      <w:lvlRestart w:val="0"/>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9" w15:restartNumberingAfterBreak="0">
    <w:nsid w:val="74D86443"/>
    <w:multiLevelType w:val="multilevel"/>
    <w:tmpl w:val="4FAAA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56023DC"/>
    <w:multiLevelType w:val="hybridMultilevel"/>
    <w:tmpl w:val="AF12EC30"/>
    <w:lvl w:ilvl="0" w:tplc="A40E28DE">
      <w:start w:val="1"/>
      <w:numFmt w:val="decimal"/>
      <w:lvlText w:val="(%1)"/>
      <w:lvlJc w:val="left"/>
      <w:pPr>
        <w:ind w:left="720" w:hanging="360"/>
      </w:pPr>
    </w:lvl>
    <w:lvl w:ilvl="1" w:tplc="232EE388">
      <w:start w:val="1"/>
      <w:numFmt w:val="lowerLetter"/>
      <w:lvlText w:val="%2."/>
      <w:lvlJc w:val="left"/>
      <w:pPr>
        <w:ind w:left="1440" w:hanging="360"/>
      </w:pPr>
    </w:lvl>
    <w:lvl w:ilvl="2" w:tplc="936C3140">
      <w:start w:val="1"/>
      <w:numFmt w:val="lowerRoman"/>
      <w:lvlText w:val="%3."/>
      <w:lvlJc w:val="right"/>
      <w:pPr>
        <w:ind w:left="2160" w:hanging="180"/>
      </w:pPr>
    </w:lvl>
    <w:lvl w:ilvl="3" w:tplc="DC460EA4">
      <w:start w:val="1"/>
      <w:numFmt w:val="decimal"/>
      <w:lvlText w:val="%4."/>
      <w:lvlJc w:val="left"/>
      <w:pPr>
        <w:ind w:left="2880" w:hanging="360"/>
      </w:pPr>
    </w:lvl>
    <w:lvl w:ilvl="4" w:tplc="1C46242A">
      <w:start w:val="1"/>
      <w:numFmt w:val="lowerLetter"/>
      <w:lvlText w:val="%5."/>
      <w:lvlJc w:val="left"/>
      <w:pPr>
        <w:ind w:left="3600" w:hanging="360"/>
      </w:pPr>
    </w:lvl>
    <w:lvl w:ilvl="5" w:tplc="BBA88C3C">
      <w:start w:val="1"/>
      <w:numFmt w:val="lowerRoman"/>
      <w:lvlText w:val="%6."/>
      <w:lvlJc w:val="right"/>
      <w:pPr>
        <w:ind w:left="4320" w:hanging="180"/>
      </w:pPr>
    </w:lvl>
    <w:lvl w:ilvl="6" w:tplc="812E67FE">
      <w:start w:val="1"/>
      <w:numFmt w:val="decimal"/>
      <w:lvlText w:val="%7."/>
      <w:lvlJc w:val="left"/>
      <w:pPr>
        <w:ind w:left="5040" w:hanging="360"/>
      </w:pPr>
    </w:lvl>
    <w:lvl w:ilvl="7" w:tplc="F6F6FFD2">
      <w:start w:val="1"/>
      <w:numFmt w:val="lowerLetter"/>
      <w:lvlText w:val="%8."/>
      <w:lvlJc w:val="left"/>
      <w:pPr>
        <w:ind w:left="5760" w:hanging="360"/>
      </w:pPr>
    </w:lvl>
    <w:lvl w:ilvl="8" w:tplc="C22ED54A">
      <w:start w:val="1"/>
      <w:numFmt w:val="lowerRoman"/>
      <w:lvlText w:val="%9."/>
      <w:lvlJc w:val="right"/>
      <w:pPr>
        <w:ind w:left="6480" w:hanging="180"/>
      </w:pPr>
    </w:lvl>
  </w:abstractNum>
  <w:abstractNum w:abstractNumId="161" w15:restartNumberingAfterBreak="0">
    <w:nsid w:val="76EC7F4E"/>
    <w:multiLevelType w:val="hybridMultilevel"/>
    <w:tmpl w:val="C2ACCA80"/>
    <w:lvl w:ilvl="0" w:tplc="724680D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79435E49"/>
    <w:multiLevelType w:val="hybridMultilevel"/>
    <w:tmpl w:val="9F342C88"/>
    <w:lvl w:ilvl="0" w:tplc="AB3838E0">
      <w:start w:val="1"/>
      <w:numFmt w:val="bullet"/>
      <w:lvlText w:val="•"/>
      <w:lvlJc w:val="left"/>
      <w:pPr>
        <w:tabs>
          <w:tab w:val="num" w:pos="720"/>
        </w:tabs>
        <w:ind w:left="720" w:hanging="360"/>
      </w:pPr>
      <w:rPr>
        <w:rFonts w:ascii="Arial" w:hAnsi="Arial" w:hint="default"/>
      </w:rPr>
    </w:lvl>
    <w:lvl w:ilvl="1" w:tplc="4D8A1628" w:tentative="1">
      <w:start w:val="1"/>
      <w:numFmt w:val="bullet"/>
      <w:lvlText w:val="•"/>
      <w:lvlJc w:val="left"/>
      <w:pPr>
        <w:tabs>
          <w:tab w:val="num" w:pos="1440"/>
        </w:tabs>
        <w:ind w:left="1440" w:hanging="360"/>
      </w:pPr>
      <w:rPr>
        <w:rFonts w:ascii="Arial" w:hAnsi="Arial" w:hint="default"/>
      </w:rPr>
    </w:lvl>
    <w:lvl w:ilvl="2" w:tplc="74E8763A" w:tentative="1">
      <w:start w:val="1"/>
      <w:numFmt w:val="bullet"/>
      <w:lvlText w:val="•"/>
      <w:lvlJc w:val="left"/>
      <w:pPr>
        <w:tabs>
          <w:tab w:val="num" w:pos="2160"/>
        </w:tabs>
        <w:ind w:left="2160" w:hanging="360"/>
      </w:pPr>
      <w:rPr>
        <w:rFonts w:ascii="Arial" w:hAnsi="Arial" w:hint="default"/>
      </w:rPr>
    </w:lvl>
    <w:lvl w:ilvl="3" w:tplc="00202D7A" w:tentative="1">
      <w:start w:val="1"/>
      <w:numFmt w:val="bullet"/>
      <w:lvlText w:val="•"/>
      <w:lvlJc w:val="left"/>
      <w:pPr>
        <w:tabs>
          <w:tab w:val="num" w:pos="2880"/>
        </w:tabs>
        <w:ind w:left="2880" w:hanging="360"/>
      </w:pPr>
      <w:rPr>
        <w:rFonts w:ascii="Arial" w:hAnsi="Arial" w:hint="default"/>
      </w:rPr>
    </w:lvl>
    <w:lvl w:ilvl="4" w:tplc="1256E3AE" w:tentative="1">
      <w:start w:val="1"/>
      <w:numFmt w:val="bullet"/>
      <w:lvlText w:val="•"/>
      <w:lvlJc w:val="left"/>
      <w:pPr>
        <w:tabs>
          <w:tab w:val="num" w:pos="3600"/>
        </w:tabs>
        <w:ind w:left="3600" w:hanging="360"/>
      </w:pPr>
      <w:rPr>
        <w:rFonts w:ascii="Arial" w:hAnsi="Arial" w:hint="default"/>
      </w:rPr>
    </w:lvl>
    <w:lvl w:ilvl="5" w:tplc="45A8B810" w:tentative="1">
      <w:start w:val="1"/>
      <w:numFmt w:val="bullet"/>
      <w:lvlText w:val="•"/>
      <w:lvlJc w:val="left"/>
      <w:pPr>
        <w:tabs>
          <w:tab w:val="num" w:pos="4320"/>
        </w:tabs>
        <w:ind w:left="4320" w:hanging="360"/>
      </w:pPr>
      <w:rPr>
        <w:rFonts w:ascii="Arial" w:hAnsi="Arial" w:hint="default"/>
      </w:rPr>
    </w:lvl>
    <w:lvl w:ilvl="6" w:tplc="B83C5C30" w:tentative="1">
      <w:start w:val="1"/>
      <w:numFmt w:val="bullet"/>
      <w:lvlText w:val="•"/>
      <w:lvlJc w:val="left"/>
      <w:pPr>
        <w:tabs>
          <w:tab w:val="num" w:pos="5040"/>
        </w:tabs>
        <w:ind w:left="5040" w:hanging="360"/>
      </w:pPr>
      <w:rPr>
        <w:rFonts w:ascii="Arial" w:hAnsi="Arial" w:hint="default"/>
      </w:rPr>
    </w:lvl>
    <w:lvl w:ilvl="7" w:tplc="2820CF3C" w:tentative="1">
      <w:start w:val="1"/>
      <w:numFmt w:val="bullet"/>
      <w:lvlText w:val="•"/>
      <w:lvlJc w:val="left"/>
      <w:pPr>
        <w:tabs>
          <w:tab w:val="num" w:pos="5760"/>
        </w:tabs>
        <w:ind w:left="5760" w:hanging="360"/>
      </w:pPr>
      <w:rPr>
        <w:rFonts w:ascii="Arial" w:hAnsi="Arial" w:hint="default"/>
      </w:rPr>
    </w:lvl>
    <w:lvl w:ilvl="8" w:tplc="DF8E0480" w:tentative="1">
      <w:start w:val="1"/>
      <w:numFmt w:val="bullet"/>
      <w:lvlText w:val="•"/>
      <w:lvlJc w:val="left"/>
      <w:pPr>
        <w:tabs>
          <w:tab w:val="num" w:pos="6480"/>
        </w:tabs>
        <w:ind w:left="6480" w:hanging="360"/>
      </w:pPr>
      <w:rPr>
        <w:rFonts w:ascii="Arial" w:hAnsi="Arial" w:hint="default"/>
      </w:rPr>
    </w:lvl>
  </w:abstractNum>
  <w:abstractNum w:abstractNumId="163" w15:restartNumberingAfterBreak="0">
    <w:nsid w:val="794511EC"/>
    <w:multiLevelType w:val="hybridMultilevel"/>
    <w:tmpl w:val="263AFDE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79E925AB"/>
    <w:multiLevelType w:val="hybridMultilevel"/>
    <w:tmpl w:val="70B08C10"/>
    <w:lvl w:ilvl="0" w:tplc="4EBCED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7A875346"/>
    <w:multiLevelType w:val="hybridMultilevel"/>
    <w:tmpl w:val="84043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AD47319"/>
    <w:multiLevelType w:val="multilevel"/>
    <w:tmpl w:val="CD8A9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7" w15:restartNumberingAfterBreak="0">
    <w:nsid w:val="7B716DDE"/>
    <w:multiLevelType w:val="hybridMultilevel"/>
    <w:tmpl w:val="7C6EE3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8" w15:restartNumberingAfterBreak="0">
    <w:nsid w:val="7BEC545E"/>
    <w:multiLevelType w:val="hybridMultilevel"/>
    <w:tmpl w:val="B1BCFA1A"/>
    <w:lvl w:ilvl="0" w:tplc="4366035E">
      <w:start w:val="1"/>
      <w:numFmt w:val="bullet"/>
      <w:lvlText w:val=""/>
      <w:lvlJc w:val="left"/>
      <w:pPr>
        <w:ind w:left="720" w:hanging="360"/>
      </w:pPr>
      <w:rPr>
        <w:rFonts w:ascii="Symbol" w:hAnsi="Symbol" w:hint="default"/>
      </w:rPr>
    </w:lvl>
    <w:lvl w:ilvl="1" w:tplc="93DA7CD0">
      <w:numFmt w:val="bullet"/>
      <w:lvlText w:val="–"/>
      <w:lvlJc w:val="left"/>
      <w:pPr>
        <w:ind w:left="1440" w:hanging="360"/>
      </w:pPr>
      <w:rPr>
        <w:rFonts w:hint="default"/>
      </w:rPr>
    </w:lvl>
    <w:lvl w:ilvl="2" w:tplc="C51653F6">
      <w:start w:val="1"/>
      <w:numFmt w:val="bullet"/>
      <w:lvlText w:val=""/>
      <w:lvlJc w:val="left"/>
      <w:pPr>
        <w:ind w:left="2160" w:hanging="360"/>
      </w:pPr>
      <w:rPr>
        <w:rFonts w:ascii="Wingdings" w:hAnsi="Wingdings" w:hint="default"/>
      </w:rPr>
    </w:lvl>
    <w:lvl w:ilvl="3" w:tplc="753CD978">
      <w:start w:val="1"/>
      <w:numFmt w:val="bullet"/>
      <w:lvlText w:val=""/>
      <w:lvlJc w:val="left"/>
      <w:pPr>
        <w:ind w:left="2880" w:hanging="360"/>
      </w:pPr>
      <w:rPr>
        <w:rFonts w:ascii="Symbol" w:hAnsi="Symbol" w:hint="default"/>
      </w:rPr>
    </w:lvl>
    <w:lvl w:ilvl="4" w:tplc="5B568460">
      <w:start w:val="1"/>
      <w:numFmt w:val="bullet"/>
      <w:lvlText w:val="o"/>
      <w:lvlJc w:val="left"/>
      <w:pPr>
        <w:ind w:left="3600" w:hanging="360"/>
      </w:pPr>
      <w:rPr>
        <w:rFonts w:ascii="Courier New" w:hAnsi="Courier New" w:hint="default"/>
      </w:rPr>
    </w:lvl>
    <w:lvl w:ilvl="5" w:tplc="E218337C">
      <w:start w:val="1"/>
      <w:numFmt w:val="bullet"/>
      <w:lvlText w:val=""/>
      <w:lvlJc w:val="left"/>
      <w:pPr>
        <w:ind w:left="4320" w:hanging="360"/>
      </w:pPr>
      <w:rPr>
        <w:rFonts w:ascii="Wingdings" w:hAnsi="Wingdings" w:hint="default"/>
      </w:rPr>
    </w:lvl>
    <w:lvl w:ilvl="6" w:tplc="6C2C523C">
      <w:start w:val="1"/>
      <w:numFmt w:val="bullet"/>
      <w:lvlText w:val=""/>
      <w:lvlJc w:val="left"/>
      <w:pPr>
        <w:ind w:left="5040" w:hanging="360"/>
      </w:pPr>
      <w:rPr>
        <w:rFonts w:ascii="Symbol" w:hAnsi="Symbol" w:hint="default"/>
      </w:rPr>
    </w:lvl>
    <w:lvl w:ilvl="7" w:tplc="20606A7E">
      <w:start w:val="1"/>
      <w:numFmt w:val="bullet"/>
      <w:lvlText w:val="o"/>
      <w:lvlJc w:val="left"/>
      <w:pPr>
        <w:ind w:left="5760" w:hanging="360"/>
      </w:pPr>
      <w:rPr>
        <w:rFonts w:ascii="Courier New" w:hAnsi="Courier New" w:hint="default"/>
      </w:rPr>
    </w:lvl>
    <w:lvl w:ilvl="8" w:tplc="F48408E4">
      <w:start w:val="1"/>
      <w:numFmt w:val="bullet"/>
      <w:lvlText w:val=""/>
      <w:lvlJc w:val="left"/>
      <w:pPr>
        <w:ind w:left="6480" w:hanging="360"/>
      </w:pPr>
      <w:rPr>
        <w:rFonts w:ascii="Wingdings" w:hAnsi="Wingdings" w:hint="default"/>
      </w:rPr>
    </w:lvl>
  </w:abstractNum>
  <w:abstractNum w:abstractNumId="169" w15:restartNumberingAfterBreak="0">
    <w:nsid w:val="7C465D57"/>
    <w:multiLevelType w:val="hybridMultilevel"/>
    <w:tmpl w:val="4CD4C4EA"/>
    <w:lvl w:ilvl="0" w:tplc="3EAE000A">
      <w:start w:val="1"/>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0" w15:restartNumberingAfterBreak="0">
    <w:nsid w:val="7C65145E"/>
    <w:multiLevelType w:val="multilevel"/>
    <w:tmpl w:val="ED6855FE"/>
    <w:name w:val="EurolookHeading"/>
    <w:lvl w:ilvl="0">
      <w:start w:val="1"/>
      <w:numFmt w:val="decimal"/>
      <w:lvlText w:val="%1."/>
      <w:lvlJc w:val="left"/>
      <w:pPr>
        <w:tabs>
          <w:tab w:val="num" w:pos="482"/>
        </w:tabs>
        <w:ind w:left="482" w:hanging="482"/>
      </w:pPr>
    </w:lvl>
    <w:lvl w:ilvl="1">
      <w:start w:val="1"/>
      <w:numFmt w:val="decimal"/>
      <w:lvlText w:val="%1.%2."/>
      <w:lvlJc w:val="left"/>
      <w:pPr>
        <w:tabs>
          <w:tab w:val="num" w:pos="1202"/>
        </w:tabs>
        <w:ind w:left="1202" w:hanging="720"/>
      </w:pPr>
    </w:lvl>
    <w:lvl w:ilvl="2">
      <w:start w:val="1"/>
      <w:numFmt w:val="decimal"/>
      <w:lvlText w:val="%1.%2.%3."/>
      <w:lvlJc w:val="left"/>
      <w:pPr>
        <w:tabs>
          <w:tab w:val="num" w:pos="4213"/>
        </w:tabs>
        <w:ind w:left="3986" w:hanging="1009"/>
      </w:pPr>
    </w:lvl>
    <w:lvl w:ilvl="3">
      <w:start w:val="1"/>
      <w:numFmt w:val="decimal"/>
      <w:lvlText w:val="%1.%2.%3.%4."/>
      <w:lvlJc w:val="left"/>
      <w:pPr>
        <w:tabs>
          <w:tab w:val="num" w:pos="2438"/>
        </w:tabs>
        <w:ind w:left="2211" w:hanging="1009"/>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171"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172" w15:restartNumberingAfterBreak="0">
    <w:nsid w:val="7F232F93"/>
    <w:multiLevelType w:val="hybridMultilevel"/>
    <w:tmpl w:val="8FA2E43C"/>
    <w:lvl w:ilvl="0" w:tplc="3EAE000A">
      <w:start w:val="1"/>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3" w15:restartNumberingAfterBreak="0">
    <w:nsid w:val="7F553388"/>
    <w:multiLevelType w:val="hybridMultilevel"/>
    <w:tmpl w:val="68B8F020"/>
    <w:lvl w:ilvl="0" w:tplc="B6EC205A">
      <w:start w:val="1"/>
      <w:numFmt w:val="bullet"/>
      <w:lvlText w:val=""/>
      <w:lvlJc w:val="left"/>
      <w:pPr>
        <w:ind w:left="1080" w:hanging="360"/>
      </w:pPr>
      <w:rPr>
        <w:rFonts w:ascii="Symbol" w:hAnsi="Symbol"/>
      </w:rPr>
    </w:lvl>
    <w:lvl w:ilvl="1" w:tplc="702A92F8">
      <w:start w:val="1"/>
      <w:numFmt w:val="bullet"/>
      <w:lvlText w:val=""/>
      <w:lvlJc w:val="left"/>
      <w:pPr>
        <w:ind w:left="1080" w:hanging="360"/>
      </w:pPr>
      <w:rPr>
        <w:rFonts w:ascii="Symbol" w:hAnsi="Symbol"/>
      </w:rPr>
    </w:lvl>
    <w:lvl w:ilvl="2" w:tplc="CC0EAA8C">
      <w:start w:val="1"/>
      <w:numFmt w:val="bullet"/>
      <w:lvlText w:val=""/>
      <w:lvlJc w:val="left"/>
      <w:pPr>
        <w:ind w:left="1080" w:hanging="360"/>
      </w:pPr>
      <w:rPr>
        <w:rFonts w:ascii="Symbol" w:hAnsi="Symbol"/>
      </w:rPr>
    </w:lvl>
    <w:lvl w:ilvl="3" w:tplc="3F4E089C">
      <w:start w:val="1"/>
      <w:numFmt w:val="bullet"/>
      <w:lvlText w:val=""/>
      <w:lvlJc w:val="left"/>
      <w:pPr>
        <w:ind w:left="1080" w:hanging="360"/>
      </w:pPr>
      <w:rPr>
        <w:rFonts w:ascii="Symbol" w:hAnsi="Symbol"/>
      </w:rPr>
    </w:lvl>
    <w:lvl w:ilvl="4" w:tplc="898C66E8">
      <w:start w:val="1"/>
      <w:numFmt w:val="bullet"/>
      <w:lvlText w:val=""/>
      <w:lvlJc w:val="left"/>
      <w:pPr>
        <w:ind w:left="1080" w:hanging="360"/>
      </w:pPr>
      <w:rPr>
        <w:rFonts w:ascii="Symbol" w:hAnsi="Symbol"/>
      </w:rPr>
    </w:lvl>
    <w:lvl w:ilvl="5" w:tplc="58E4BF88">
      <w:start w:val="1"/>
      <w:numFmt w:val="bullet"/>
      <w:lvlText w:val=""/>
      <w:lvlJc w:val="left"/>
      <w:pPr>
        <w:ind w:left="1080" w:hanging="360"/>
      </w:pPr>
      <w:rPr>
        <w:rFonts w:ascii="Symbol" w:hAnsi="Symbol"/>
      </w:rPr>
    </w:lvl>
    <w:lvl w:ilvl="6" w:tplc="37BA4960">
      <w:start w:val="1"/>
      <w:numFmt w:val="bullet"/>
      <w:lvlText w:val=""/>
      <w:lvlJc w:val="left"/>
      <w:pPr>
        <w:ind w:left="1080" w:hanging="360"/>
      </w:pPr>
      <w:rPr>
        <w:rFonts w:ascii="Symbol" w:hAnsi="Symbol"/>
      </w:rPr>
    </w:lvl>
    <w:lvl w:ilvl="7" w:tplc="6F84B14A">
      <w:start w:val="1"/>
      <w:numFmt w:val="bullet"/>
      <w:lvlText w:val=""/>
      <w:lvlJc w:val="left"/>
      <w:pPr>
        <w:ind w:left="1080" w:hanging="360"/>
      </w:pPr>
      <w:rPr>
        <w:rFonts w:ascii="Symbol" w:hAnsi="Symbol"/>
      </w:rPr>
    </w:lvl>
    <w:lvl w:ilvl="8" w:tplc="157C945E">
      <w:start w:val="1"/>
      <w:numFmt w:val="bullet"/>
      <w:lvlText w:val=""/>
      <w:lvlJc w:val="left"/>
      <w:pPr>
        <w:ind w:left="1080" w:hanging="360"/>
      </w:pPr>
      <w:rPr>
        <w:rFonts w:ascii="Symbol" w:hAnsi="Symbol"/>
      </w:rPr>
    </w:lvl>
  </w:abstractNum>
  <w:num w:numId="1">
    <w:abstractNumId w:val="141"/>
  </w:num>
  <w:num w:numId="2">
    <w:abstractNumId w:val="89"/>
  </w:num>
  <w:num w:numId="3">
    <w:abstractNumId w:val="10"/>
  </w:num>
  <w:num w:numId="4">
    <w:abstractNumId w:val="75"/>
  </w:num>
  <w:num w:numId="5">
    <w:abstractNumId w:val="41"/>
  </w:num>
  <w:num w:numId="6">
    <w:abstractNumId w:val="78"/>
  </w:num>
  <w:num w:numId="7">
    <w:abstractNumId w:val="107"/>
  </w:num>
  <w:num w:numId="8">
    <w:abstractNumId w:val="145"/>
  </w:num>
  <w:num w:numId="9">
    <w:abstractNumId w:val="14"/>
  </w:num>
  <w:num w:numId="10">
    <w:abstractNumId w:val="31"/>
  </w:num>
  <w:num w:numId="11">
    <w:abstractNumId w:val="88"/>
  </w:num>
  <w:num w:numId="12">
    <w:abstractNumId w:val="15"/>
  </w:num>
  <w:num w:numId="13">
    <w:abstractNumId w:val="18"/>
  </w:num>
  <w:num w:numId="14">
    <w:abstractNumId w:val="23"/>
  </w:num>
  <w:num w:numId="15">
    <w:abstractNumId w:val="62"/>
  </w:num>
  <w:num w:numId="16">
    <w:abstractNumId w:val="80"/>
  </w:num>
  <w:num w:numId="17">
    <w:abstractNumId w:val="103"/>
  </w:num>
  <w:num w:numId="18">
    <w:abstractNumId w:val="170"/>
  </w:num>
  <w:num w:numId="19">
    <w:abstractNumId w:val="65"/>
  </w:num>
  <w:num w:numId="20">
    <w:abstractNumId w:val="66"/>
  </w:num>
  <w:num w:numId="21">
    <w:abstractNumId w:val="171"/>
  </w:num>
  <w:num w:numId="22">
    <w:abstractNumId w:val="102"/>
  </w:num>
  <w:num w:numId="23">
    <w:abstractNumId w:val="108"/>
  </w:num>
  <w:num w:numId="24">
    <w:abstractNumId w:val="16"/>
  </w:num>
  <w:num w:numId="25">
    <w:abstractNumId w:val="83"/>
  </w:num>
  <w:num w:numId="26">
    <w:abstractNumId w:val="122"/>
  </w:num>
  <w:num w:numId="27">
    <w:abstractNumId w:val="154"/>
  </w:num>
  <w:num w:numId="28">
    <w:abstractNumId w:val="3"/>
  </w:num>
  <w:num w:numId="29">
    <w:abstractNumId w:val="112"/>
  </w:num>
  <w:num w:numId="30">
    <w:abstractNumId w:val="37"/>
  </w:num>
  <w:num w:numId="31">
    <w:abstractNumId w:val="29"/>
  </w:num>
  <w:num w:numId="32">
    <w:abstractNumId w:val="140"/>
  </w:num>
  <w:num w:numId="33">
    <w:abstractNumId w:val="79"/>
  </w:num>
  <w:num w:numId="34">
    <w:abstractNumId w:val="124"/>
  </w:num>
  <w:num w:numId="35">
    <w:abstractNumId w:val="92"/>
  </w:num>
  <w:num w:numId="36">
    <w:abstractNumId w:val="70"/>
  </w:num>
  <w:num w:numId="37">
    <w:abstractNumId w:val="111"/>
  </w:num>
  <w:num w:numId="38">
    <w:abstractNumId w:val="85"/>
  </w:num>
  <w:num w:numId="39">
    <w:abstractNumId w:val="40"/>
  </w:num>
  <w:num w:numId="40">
    <w:abstractNumId w:val="123"/>
  </w:num>
  <w:num w:numId="41">
    <w:abstractNumId w:val="170"/>
  </w:num>
  <w:num w:numId="42">
    <w:abstractNumId w:val="53"/>
  </w:num>
  <w:num w:numId="43">
    <w:abstractNumId w:val="170"/>
  </w:num>
  <w:num w:numId="44">
    <w:abstractNumId w:val="156"/>
  </w:num>
  <w:num w:numId="45">
    <w:abstractNumId w:val="39"/>
  </w:num>
  <w:num w:numId="46">
    <w:abstractNumId w:val="64"/>
  </w:num>
  <w:num w:numId="47">
    <w:abstractNumId w:val="77"/>
  </w:num>
  <w:num w:numId="48">
    <w:abstractNumId w:val="30"/>
  </w:num>
  <w:num w:numId="49">
    <w:abstractNumId w:val="170"/>
  </w:num>
  <w:num w:numId="50">
    <w:abstractNumId w:val="170"/>
  </w:num>
  <w:num w:numId="51">
    <w:abstractNumId w:val="170"/>
  </w:num>
  <w:num w:numId="52">
    <w:abstractNumId w:val="170"/>
  </w:num>
  <w:num w:numId="53">
    <w:abstractNumId w:val="170"/>
  </w:num>
  <w:num w:numId="54">
    <w:abstractNumId w:val="170"/>
  </w:num>
  <w:num w:numId="55">
    <w:abstractNumId w:val="170"/>
  </w:num>
  <w:num w:numId="56">
    <w:abstractNumId w:val="170"/>
  </w:num>
  <w:num w:numId="57">
    <w:abstractNumId w:val="170"/>
  </w:num>
  <w:num w:numId="58">
    <w:abstractNumId w:val="170"/>
  </w:num>
  <w:num w:numId="59">
    <w:abstractNumId w:val="170"/>
  </w:num>
  <w:num w:numId="60">
    <w:abstractNumId w:val="170"/>
  </w:num>
  <w:num w:numId="61">
    <w:abstractNumId w:val="170"/>
  </w:num>
  <w:num w:numId="62">
    <w:abstractNumId w:val="150"/>
  </w:num>
  <w:num w:numId="63">
    <w:abstractNumId w:val="169"/>
  </w:num>
  <w:num w:numId="64">
    <w:abstractNumId w:val="162"/>
  </w:num>
  <w:num w:numId="65">
    <w:abstractNumId w:val="99"/>
  </w:num>
  <w:num w:numId="66">
    <w:abstractNumId w:val="4"/>
  </w:num>
  <w:num w:numId="67">
    <w:abstractNumId w:val="158"/>
  </w:num>
  <w:num w:numId="68">
    <w:abstractNumId w:val="22"/>
  </w:num>
  <w:num w:numId="69">
    <w:abstractNumId w:val="73"/>
  </w:num>
  <w:num w:numId="70">
    <w:abstractNumId w:val="133"/>
  </w:num>
  <w:num w:numId="71">
    <w:abstractNumId w:val="170"/>
  </w:num>
  <w:num w:numId="72">
    <w:abstractNumId w:val="0"/>
  </w:num>
  <w:num w:numId="73">
    <w:abstractNumId w:val="170"/>
  </w:num>
  <w:num w:numId="74">
    <w:abstractNumId w:val="170"/>
  </w:num>
  <w:num w:numId="75">
    <w:abstractNumId w:val="152"/>
  </w:num>
  <w:num w:numId="76">
    <w:abstractNumId w:val="48"/>
  </w:num>
  <w:num w:numId="77">
    <w:abstractNumId w:val="71"/>
  </w:num>
  <w:num w:numId="78">
    <w:abstractNumId w:val="170"/>
  </w:num>
  <w:num w:numId="79">
    <w:abstractNumId w:val="170"/>
  </w:num>
  <w:num w:numId="80">
    <w:abstractNumId w:val="170"/>
  </w:num>
  <w:num w:numId="81">
    <w:abstractNumId w:val="170"/>
  </w:num>
  <w:num w:numId="82">
    <w:abstractNumId w:val="170"/>
  </w:num>
  <w:num w:numId="83">
    <w:abstractNumId w:val="109"/>
  </w:num>
  <w:num w:numId="84">
    <w:abstractNumId w:val="170"/>
  </w:num>
  <w:num w:numId="85">
    <w:abstractNumId w:val="44"/>
  </w:num>
  <w:num w:numId="86">
    <w:abstractNumId w:val="76"/>
  </w:num>
  <w:num w:numId="87">
    <w:abstractNumId w:val="51"/>
  </w:num>
  <w:num w:numId="88">
    <w:abstractNumId w:val="2"/>
  </w:num>
  <w:num w:numId="89">
    <w:abstractNumId w:val="24"/>
  </w:num>
  <w:num w:numId="90">
    <w:abstractNumId w:val="136"/>
  </w:num>
  <w:num w:numId="91">
    <w:abstractNumId w:val="172"/>
  </w:num>
  <w:num w:numId="92">
    <w:abstractNumId w:val="61"/>
  </w:num>
  <w:num w:numId="93">
    <w:abstractNumId w:val="57"/>
  </w:num>
  <w:num w:numId="94">
    <w:abstractNumId w:val="26"/>
  </w:num>
  <w:num w:numId="9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69"/>
  </w:num>
  <w:num w:numId="9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73"/>
  </w:num>
  <w:num w:numId="100">
    <w:abstractNumId w:val="117"/>
  </w:num>
  <w:num w:numId="101">
    <w:abstractNumId w:val="52"/>
  </w:num>
  <w:num w:numId="102">
    <w:abstractNumId w:val="166"/>
  </w:num>
  <w:num w:numId="103">
    <w:abstractNumId w:val="27"/>
  </w:num>
  <w:num w:numId="104">
    <w:abstractNumId w:val="142"/>
  </w:num>
  <w:num w:numId="105">
    <w:abstractNumId w:val="5"/>
  </w:num>
  <w:num w:numId="106">
    <w:abstractNumId w:val="58"/>
  </w:num>
  <w:num w:numId="107">
    <w:abstractNumId w:val="20"/>
  </w:num>
  <w:num w:numId="108">
    <w:abstractNumId w:val="134"/>
  </w:num>
  <w:num w:numId="109">
    <w:abstractNumId w:val="95"/>
  </w:num>
  <w:num w:numId="110">
    <w:abstractNumId w:val="128"/>
  </w:num>
  <w:num w:numId="111">
    <w:abstractNumId w:val="104"/>
  </w:num>
  <w:num w:numId="112">
    <w:abstractNumId w:val="159"/>
  </w:num>
  <w:num w:numId="113">
    <w:abstractNumId w:val="113"/>
  </w:num>
  <w:num w:numId="114">
    <w:abstractNumId w:val="155"/>
  </w:num>
  <w:num w:numId="115">
    <w:abstractNumId w:val="72"/>
  </w:num>
  <w:num w:numId="116">
    <w:abstractNumId w:val="43"/>
  </w:num>
  <w:num w:numId="117">
    <w:abstractNumId w:val="94"/>
  </w:num>
  <w:num w:numId="118">
    <w:abstractNumId w:val="125"/>
  </w:num>
  <w:num w:numId="119">
    <w:abstractNumId w:val="126"/>
  </w:num>
  <w:num w:numId="120">
    <w:abstractNumId w:val="63"/>
  </w:num>
  <w:num w:numId="121">
    <w:abstractNumId w:val="115"/>
  </w:num>
  <w:num w:numId="122">
    <w:abstractNumId w:val="137"/>
  </w:num>
  <w:num w:numId="123">
    <w:abstractNumId w:val="137"/>
  </w:num>
  <w:num w:numId="124">
    <w:abstractNumId w:val="137"/>
  </w:num>
  <w:num w:numId="125">
    <w:abstractNumId w:val="137"/>
  </w:num>
  <w:num w:numId="126">
    <w:abstractNumId w:val="137"/>
  </w:num>
  <w:num w:numId="127">
    <w:abstractNumId w:val="137"/>
  </w:num>
  <w:num w:numId="128">
    <w:abstractNumId w:val="137"/>
  </w:num>
  <w:num w:numId="129">
    <w:abstractNumId w:val="137"/>
  </w:num>
  <w:num w:numId="130">
    <w:abstractNumId w:val="137"/>
  </w:num>
  <w:num w:numId="131">
    <w:abstractNumId w:val="39"/>
  </w:num>
  <w:num w:numId="132">
    <w:abstractNumId w:val="39"/>
  </w:num>
  <w:num w:numId="133">
    <w:abstractNumId w:val="39"/>
  </w:num>
  <w:num w:numId="134">
    <w:abstractNumId w:val="39"/>
  </w:num>
  <w:num w:numId="135">
    <w:abstractNumId w:val="39"/>
  </w:num>
  <w:num w:numId="136">
    <w:abstractNumId w:val="39"/>
  </w:num>
  <w:num w:numId="137">
    <w:abstractNumId w:val="39"/>
  </w:num>
  <w:num w:numId="138">
    <w:abstractNumId w:val="39"/>
  </w:num>
  <w:num w:numId="139">
    <w:abstractNumId w:val="39"/>
  </w:num>
  <w:num w:numId="140">
    <w:abstractNumId w:val="102"/>
  </w:num>
  <w:num w:numId="141">
    <w:abstractNumId w:val="102"/>
  </w:num>
  <w:num w:numId="142">
    <w:abstractNumId w:val="102"/>
  </w:num>
  <w:num w:numId="143">
    <w:abstractNumId w:val="102"/>
  </w:num>
  <w:num w:numId="144">
    <w:abstractNumId w:val="108"/>
  </w:num>
  <w:num w:numId="145">
    <w:abstractNumId w:val="108"/>
  </w:num>
  <w:num w:numId="146">
    <w:abstractNumId w:val="108"/>
  </w:num>
  <w:num w:numId="147">
    <w:abstractNumId w:val="108"/>
  </w:num>
  <w:num w:numId="148">
    <w:abstractNumId w:val="16"/>
  </w:num>
  <w:num w:numId="149">
    <w:abstractNumId w:val="16"/>
  </w:num>
  <w:num w:numId="150">
    <w:abstractNumId w:val="16"/>
  </w:num>
  <w:num w:numId="151">
    <w:abstractNumId w:val="16"/>
  </w:num>
  <w:num w:numId="152">
    <w:abstractNumId w:val="129"/>
  </w:num>
  <w:num w:numId="153">
    <w:abstractNumId w:val="87"/>
  </w:num>
  <w:num w:numId="154">
    <w:abstractNumId w:val="143"/>
  </w:num>
  <w:num w:numId="155">
    <w:abstractNumId w:val="64"/>
  </w:num>
  <w:num w:numId="156">
    <w:abstractNumId w:val="90"/>
  </w:num>
  <w:num w:numId="157">
    <w:abstractNumId w:val="91"/>
  </w:num>
  <w:num w:numId="158">
    <w:abstractNumId w:val="6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59">
    <w:abstractNumId w:val="6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60">
    <w:abstractNumId w:val="6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61">
    <w:abstractNumId w:val="6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62">
    <w:abstractNumId w:val="15"/>
  </w:num>
  <w:num w:numId="163">
    <w:abstractNumId w:val="15"/>
    <w:lvlOverride w:ilvl="0">
      <w:startOverride w:val="214"/>
    </w:lvlOverride>
    <w:lvlOverride w:ilvl="1">
      <w:startOverride w:val="2"/>
    </w:lvlOverride>
    <w:lvlOverride w:ilvl="2">
      <w:startOverride w:val="1"/>
    </w:lvlOverride>
    <w:lvlOverride w:ilvl="3">
      <w:startOverride w:val="1"/>
    </w:lvlOverride>
    <w:lvlOverride w:ilvl="4"/>
    <w:lvlOverride w:ilvl="5"/>
    <w:lvlOverride w:ilvl="6"/>
    <w:lvlOverride w:ilvl="7"/>
    <w:lvlOverride w:ilvl="8"/>
  </w:num>
  <w:num w:numId="164">
    <w:abstractNumId w:val="66"/>
    <w:lvlOverride w:ilvl="0">
      <w:startOverride w:val="1"/>
    </w:lvlOverride>
    <w:lvlOverride w:ilvl="1">
      <w:startOverride w:val="3"/>
    </w:lvlOverride>
    <w:lvlOverride w:ilvl="2">
      <w:startOverride w:val="1"/>
    </w:lvlOverride>
    <w:lvlOverride w:ilvl="3"/>
    <w:lvlOverride w:ilvl="4"/>
    <w:lvlOverride w:ilvl="5"/>
    <w:lvlOverride w:ilvl="6"/>
    <w:lvlOverride w:ilvl="7"/>
    <w:lvlOverride w:ilvl="8"/>
  </w:num>
  <w:num w:numId="165">
    <w:abstractNumId w:val="6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66">
    <w:abstractNumId w:val="6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67">
    <w:abstractNumId w:val="137"/>
  </w:num>
  <w:num w:numId="168">
    <w:abstractNumId w:val="130"/>
  </w:num>
  <w:num w:numId="169">
    <w:abstractNumId w:val="66"/>
  </w:num>
  <w:num w:numId="170">
    <w:abstractNumId w:val="137"/>
  </w:num>
  <w:num w:numId="171">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72">
    <w:abstractNumId w:val="167"/>
  </w:num>
  <w:num w:numId="173">
    <w:abstractNumId w:val="15"/>
  </w:num>
  <w:num w:numId="174">
    <w:abstractNumId w:val="118"/>
  </w:num>
  <w:num w:numId="175">
    <w:abstractNumId w:val="17"/>
  </w:num>
  <w:num w:numId="176">
    <w:abstractNumId w:val="168"/>
  </w:num>
  <w:num w:numId="177">
    <w:abstractNumId w:val="35"/>
  </w:num>
  <w:num w:numId="178">
    <w:abstractNumId w:val="127"/>
  </w:num>
  <w:num w:numId="179">
    <w:abstractNumId w:val="25"/>
  </w:num>
  <w:num w:numId="180">
    <w:abstractNumId w:val="60"/>
  </w:num>
  <w:num w:numId="181">
    <w:abstractNumId w:val="6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82">
    <w:abstractNumId w:val="157"/>
  </w:num>
  <w:num w:numId="183">
    <w:abstractNumId w:val="12"/>
  </w:num>
  <w:num w:numId="184">
    <w:abstractNumId w:val="74"/>
  </w:num>
  <w:num w:numId="185">
    <w:abstractNumId w:val="147"/>
  </w:num>
  <w:num w:numId="186">
    <w:abstractNumId w:val="86"/>
  </w:num>
  <w:num w:numId="187">
    <w:abstractNumId w:val="160"/>
  </w:num>
  <w:num w:numId="188">
    <w:abstractNumId w:val="42"/>
  </w:num>
  <w:num w:numId="189">
    <w:abstractNumId w:val="47"/>
  </w:num>
  <w:num w:numId="190">
    <w:abstractNumId w:val="13"/>
  </w:num>
  <w:num w:numId="191">
    <w:abstractNumId w:val="165"/>
  </w:num>
  <w:num w:numId="192">
    <w:abstractNumId w:val="7"/>
  </w:num>
  <w:num w:numId="193">
    <w:abstractNumId w:val="100"/>
  </w:num>
  <w:num w:numId="194">
    <w:abstractNumId w:val="28"/>
  </w:num>
  <w:num w:numId="195">
    <w:abstractNumId w:val="137"/>
    <w:lvlOverride w:ilvl="0">
      <w:startOverride w:val="5"/>
    </w:lvlOverride>
    <w:lvlOverride w:ilvl="1">
      <w:startOverride w:val="2"/>
    </w:lvlOverride>
    <w:lvlOverride w:ilvl="2">
      <w:startOverride w:val="4"/>
    </w:lvlOverride>
    <w:lvlOverride w:ilvl="3">
      <w:startOverride w:val="1"/>
    </w:lvlOverride>
  </w:num>
  <w:num w:numId="196">
    <w:abstractNumId w:val="139"/>
  </w:num>
  <w:num w:numId="197">
    <w:abstractNumId w:val="163"/>
  </w:num>
  <w:num w:numId="198">
    <w:abstractNumId w:val="131"/>
  </w:num>
  <w:num w:numId="199">
    <w:abstractNumId w:val="46"/>
  </w:num>
  <w:num w:numId="200">
    <w:abstractNumId w:val="54"/>
  </w:num>
  <w:num w:numId="201">
    <w:abstractNumId w:val="8"/>
  </w:num>
  <w:num w:numId="202">
    <w:abstractNumId w:val="84"/>
  </w:num>
  <w:num w:numId="203">
    <w:abstractNumId w:val="146"/>
  </w:num>
  <w:num w:numId="204">
    <w:abstractNumId w:val="32"/>
  </w:num>
  <w:num w:numId="205">
    <w:abstractNumId w:val="161"/>
  </w:num>
  <w:num w:numId="206">
    <w:abstractNumId w:val="98"/>
  </w:num>
  <w:num w:numId="207">
    <w:abstractNumId w:val="148"/>
  </w:num>
  <w:num w:numId="208">
    <w:abstractNumId w:val="36"/>
  </w:num>
  <w:num w:numId="209">
    <w:abstractNumId w:val="82"/>
  </w:num>
  <w:num w:numId="210">
    <w:abstractNumId w:val="6"/>
  </w:num>
  <w:num w:numId="211">
    <w:abstractNumId w:val="114"/>
  </w:num>
  <w:num w:numId="212">
    <w:abstractNumId w:val="164"/>
  </w:num>
  <w:num w:numId="213">
    <w:abstractNumId w:val="9"/>
  </w:num>
  <w:num w:numId="214">
    <w:abstractNumId w:val="97"/>
  </w:num>
  <w:num w:numId="215">
    <w:abstractNumId w:val="101"/>
  </w:num>
  <w:num w:numId="216">
    <w:abstractNumId w:val="110"/>
  </w:num>
  <w:num w:numId="217">
    <w:abstractNumId w:val="135"/>
  </w:num>
  <w:num w:numId="218">
    <w:abstractNumId w:val="93"/>
  </w:num>
  <w:num w:numId="219">
    <w:abstractNumId w:val="81"/>
  </w:num>
  <w:num w:numId="220">
    <w:abstractNumId w:val="50"/>
  </w:num>
  <w:num w:numId="221">
    <w:abstractNumId w:val="125"/>
    <w:lvlOverride w:ilvl="0">
      <w:startOverride w:val="1"/>
    </w:lvlOverride>
  </w:num>
  <w:num w:numId="222">
    <w:abstractNumId w:val="125"/>
    <w:lvlOverride w:ilvl="0">
      <w:startOverride w:val="1"/>
    </w:lvlOverride>
  </w:num>
  <w:num w:numId="223">
    <w:abstractNumId w:val="49"/>
  </w:num>
  <w:num w:numId="224">
    <w:abstractNumId w:val="149"/>
  </w:num>
  <w:num w:numId="225">
    <w:abstractNumId w:val="56"/>
  </w:num>
  <w:num w:numId="226">
    <w:abstractNumId w:val="66"/>
  </w:num>
  <w:num w:numId="227">
    <w:abstractNumId w:val="15"/>
  </w:num>
  <w:num w:numId="228">
    <w:abstractNumId w:val="125"/>
    <w:lvlOverride w:ilvl="0">
      <w:startOverride w:val="1"/>
    </w:lvlOverride>
  </w:num>
  <w:num w:numId="229">
    <w:abstractNumId w:val="120"/>
  </w:num>
  <w:num w:numId="230">
    <w:abstractNumId w:val="105"/>
  </w:num>
  <w:num w:numId="231">
    <w:abstractNumId w:val="125"/>
    <w:lvlOverride w:ilvl="0">
      <w:startOverride w:val="1"/>
    </w:lvlOverride>
  </w:num>
  <w:num w:numId="232">
    <w:abstractNumId w:val="125"/>
    <w:lvlOverride w:ilvl="0">
      <w:startOverride w:val="1"/>
    </w:lvlOverride>
  </w:num>
  <w:num w:numId="233">
    <w:abstractNumId w:val="132"/>
  </w:num>
  <w:num w:numId="234">
    <w:abstractNumId w:val="11"/>
  </w:num>
  <w:num w:numId="235">
    <w:abstractNumId w:val="33"/>
  </w:num>
  <w:num w:numId="236">
    <w:abstractNumId w:val="1"/>
  </w:num>
  <w:num w:numId="237">
    <w:abstractNumId w:val="55"/>
  </w:num>
  <w:num w:numId="238">
    <w:abstractNumId w:val="21"/>
  </w:num>
  <w:num w:numId="239">
    <w:abstractNumId w:val="151"/>
  </w:num>
  <w:num w:numId="240">
    <w:abstractNumId w:val="38"/>
  </w:num>
  <w:num w:numId="241">
    <w:abstractNumId w:val="67"/>
  </w:num>
  <w:num w:numId="242">
    <w:abstractNumId w:val="68"/>
  </w:num>
  <w:num w:numId="243">
    <w:abstractNumId w:val="106"/>
  </w:num>
  <w:num w:numId="244">
    <w:abstractNumId w:val="121"/>
  </w:num>
  <w:num w:numId="245">
    <w:abstractNumId w:val="116"/>
  </w:num>
  <w:num w:numId="246">
    <w:abstractNumId w:val="119"/>
  </w:num>
  <w:num w:numId="247">
    <w:abstractNumId w:val="59"/>
  </w:num>
  <w:num w:numId="248">
    <w:abstractNumId w:val="153"/>
  </w:num>
  <w:num w:numId="249">
    <w:abstractNumId w:val="19"/>
  </w:num>
  <w:num w:numId="250">
    <w:abstractNumId w:val="144"/>
  </w:num>
  <w:num w:numId="251">
    <w:abstractNumId w:val="45"/>
  </w:num>
  <w:num w:numId="252">
    <w:abstractNumId w:val="96"/>
  </w:num>
  <w:num w:numId="253">
    <w:abstractNumId w:val="34"/>
  </w:num>
  <w:num w:numId="254">
    <w:abstractNumId w:val="138"/>
  </w:num>
  <w:numIdMacAtCleanup w:val="2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49"/>
  </w:hdrShapeDefaults>
  <w:footnotePr>
    <w:footnote w:id="-1"/>
    <w:footnote w:id="0"/>
  </w:footnotePr>
  <w:endnotePr>
    <w:numFmt w:val="lowerLette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5D763DDA-6A00-43DD-9FCF-3331DB4954D4"/>
    <w:docVar w:name="LW_COVERPAGE_TYPE" w:val="1"/>
    <w:docVar w:name="LW_CROSSREFERENCE" w:val="{COM(2026) 368 final}"/>
    <w:docVar w:name="LW_DocType" w:val="EUROLOOK"/>
    <w:docVar w:name="LW_EMISSION" w:val="14.7.2026"/>
    <w:docVar w:name="LW_EMISSION_ISODATE" w:val="2026-07-14"/>
    <w:docVar w:name="LW_EMISSION_LOCATION" w:val="BRX"/>
    <w:docVar w:name="LW_EMISSION_PREFIX" w:val="Brussels, "/>
    <w:docVar w:name="LW_EMISSION_SUFFIX" w:val=" "/>
    <w:docVar w:name="LW_ID_DOCTYPE_NONLW" w:val="CP-025"/>
    <w:docVar w:name="LW_INSERT_TITRE.ACTE_NOSECTION" w:val="1"/>
    <w:docVar w:name="LW_LANGUE" w:val="EN"/>
    <w:docVar w:name="LW_LEVEL_OF_SENSITIVITY" w:val="Standard treatment"/>
    <w:docVar w:name="LW_NOM.INST" w:val="EUROPEAN COMMISSION"/>
    <w:docVar w:name="LW_NOM.INST_JOINTDOC" w:val="&lt;EMPTY&gt;"/>
    <w:docVar w:name="LW_OBJETACTEPRINCIPAL.CP" w:val="on the implementation and enforcement of Regulation (EU) 2022/2560 of 14 December 2022 on foreign subsidies distorting the internal market, in accordance with Article 52(2) thereof"/>
    <w:docVar w:name="LW_PART_NBR" w:val="1"/>
    <w:docVar w:name="LW_PART_NBR_TOTAL" w:val="1"/>
    <w:docVar w:name="LW_REF.INST.NEW" w:val="SWD"/>
    <w:docVar w:name="LW_REF.INST.NEW_ADOPTED" w:val="final"/>
    <w:docVar w:name="LW_REF.INST.NEW_TEXT" w:val="(2026) 18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
    <w:docVar w:name="LW_TYPEACTEPRINCIPAL.CP" w:val="Report from the Commission to the European Parliament and the Council"/>
    <w:docVar w:name="LwApiVersions" w:val="LW4CoDe 1.24.5.0; LW 9.2, Build 20251112"/>
  </w:docVars>
  <w:rsids>
    <w:rsidRoot w:val="00B11396"/>
    <w:rsid w:val="00000C63"/>
    <w:rsid w:val="00001211"/>
    <w:rsid w:val="00001995"/>
    <w:rsid w:val="00001A38"/>
    <w:rsid w:val="00002352"/>
    <w:rsid w:val="0000272B"/>
    <w:rsid w:val="000029DC"/>
    <w:rsid w:val="00002E40"/>
    <w:rsid w:val="00003254"/>
    <w:rsid w:val="000040ED"/>
    <w:rsid w:val="0000675A"/>
    <w:rsid w:val="00006AC7"/>
    <w:rsid w:val="00010A20"/>
    <w:rsid w:val="000118D7"/>
    <w:rsid w:val="000119C7"/>
    <w:rsid w:val="00011E99"/>
    <w:rsid w:val="00012446"/>
    <w:rsid w:val="000124F6"/>
    <w:rsid w:val="00013B98"/>
    <w:rsid w:val="00014340"/>
    <w:rsid w:val="00015087"/>
    <w:rsid w:val="0001665A"/>
    <w:rsid w:val="0001681E"/>
    <w:rsid w:val="00016B87"/>
    <w:rsid w:val="00016CDD"/>
    <w:rsid w:val="00017285"/>
    <w:rsid w:val="00017423"/>
    <w:rsid w:val="00017585"/>
    <w:rsid w:val="00017A3B"/>
    <w:rsid w:val="00020F56"/>
    <w:rsid w:val="00021684"/>
    <w:rsid w:val="00022791"/>
    <w:rsid w:val="00022C44"/>
    <w:rsid w:val="00022E2E"/>
    <w:rsid w:val="00023F2A"/>
    <w:rsid w:val="00024E4C"/>
    <w:rsid w:val="0002512F"/>
    <w:rsid w:val="000263BA"/>
    <w:rsid w:val="000268D5"/>
    <w:rsid w:val="00026EF7"/>
    <w:rsid w:val="000276BB"/>
    <w:rsid w:val="00030521"/>
    <w:rsid w:val="00031316"/>
    <w:rsid w:val="00031342"/>
    <w:rsid w:val="000315F4"/>
    <w:rsid w:val="00031D5F"/>
    <w:rsid w:val="000331DB"/>
    <w:rsid w:val="000347B9"/>
    <w:rsid w:val="00040495"/>
    <w:rsid w:val="0004089C"/>
    <w:rsid w:val="00040D83"/>
    <w:rsid w:val="0004251B"/>
    <w:rsid w:val="00043BFC"/>
    <w:rsid w:val="000441DE"/>
    <w:rsid w:val="0004424B"/>
    <w:rsid w:val="00044370"/>
    <w:rsid w:val="00044A7A"/>
    <w:rsid w:val="000458A0"/>
    <w:rsid w:val="00045998"/>
    <w:rsid w:val="00046109"/>
    <w:rsid w:val="0005032B"/>
    <w:rsid w:val="000507EB"/>
    <w:rsid w:val="00050D65"/>
    <w:rsid w:val="00051B09"/>
    <w:rsid w:val="00051DE2"/>
    <w:rsid w:val="0005277B"/>
    <w:rsid w:val="000549D1"/>
    <w:rsid w:val="00054C58"/>
    <w:rsid w:val="00054CAC"/>
    <w:rsid w:val="00054E7C"/>
    <w:rsid w:val="000558E3"/>
    <w:rsid w:val="00055D8F"/>
    <w:rsid w:val="000560DF"/>
    <w:rsid w:val="0005617B"/>
    <w:rsid w:val="000569D4"/>
    <w:rsid w:val="000600DF"/>
    <w:rsid w:val="00060876"/>
    <w:rsid w:val="00060DE5"/>
    <w:rsid w:val="00061091"/>
    <w:rsid w:val="000610ED"/>
    <w:rsid w:val="00061738"/>
    <w:rsid w:val="00062960"/>
    <w:rsid w:val="00062B44"/>
    <w:rsid w:val="00062FFC"/>
    <w:rsid w:val="00064101"/>
    <w:rsid w:val="00065083"/>
    <w:rsid w:val="0006565C"/>
    <w:rsid w:val="000656E4"/>
    <w:rsid w:val="00065D3B"/>
    <w:rsid w:val="00067331"/>
    <w:rsid w:val="00067BAF"/>
    <w:rsid w:val="00071688"/>
    <w:rsid w:val="00071EBA"/>
    <w:rsid w:val="000725B9"/>
    <w:rsid w:val="00072C68"/>
    <w:rsid w:val="0007400C"/>
    <w:rsid w:val="00074F84"/>
    <w:rsid w:val="00075CFD"/>
    <w:rsid w:val="000771EA"/>
    <w:rsid w:val="00077AF1"/>
    <w:rsid w:val="000800B7"/>
    <w:rsid w:val="0008046E"/>
    <w:rsid w:val="000808DB"/>
    <w:rsid w:val="000810BD"/>
    <w:rsid w:val="0008139B"/>
    <w:rsid w:val="00081917"/>
    <w:rsid w:val="00082DF5"/>
    <w:rsid w:val="0008614F"/>
    <w:rsid w:val="0008625D"/>
    <w:rsid w:val="000864DA"/>
    <w:rsid w:val="00087367"/>
    <w:rsid w:val="0009027D"/>
    <w:rsid w:val="00090FB1"/>
    <w:rsid w:val="00091F2F"/>
    <w:rsid w:val="0009212F"/>
    <w:rsid w:val="00092686"/>
    <w:rsid w:val="000930F7"/>
    <w:rsid w:val="00093BF9"/>
    <w:rsid w:val="000952FC"/>
    <w:rsid w:val="00095A2C"/>
    <w:rsid w:val="00095EEE"/>
    <w:rsid w:val="00096047"/>
    <w:rsid w:val="000A02A4"/>
    <w:rsid w:val="000A0544"/>
    <w:rsid w:val="000A0B02"/>
    <w:rsid w:val="000A1422"/>
    <w:rsid w:val="000A17F1"/>
    <w:rsid w:val="000A1F37"/>
    <w:rsid w:val="000A222E"/>
    <w:rsid w:val="000A25A0"/>
    <w:rsid w:val="000A2C14"/>
    <w:rsid w:val="000A2CEF"/>
    <w:rsid w:val="000A303B"/>
    <w:rsid w:val="000A37B5"/>
    <w:rsid w:val="000A3FAC"/>
    <w:rsid w:val="000A5314"/>
    <w:rsid w:val="000A5A9A"/>
    <w:rsid w:val="000A7324"/>
    <w:rsid w:val="000A74FC"/>
    <w:rsid w:val="000A76EA"/>
    <w:rsid w:val="000B0496"/>
    <w:rsid w:val="000B0DB3"/>
    <w:rsid w:val="000B1152"/>
    <w:rsid w:val="000B25F3"/>
    <w:rsid w:val="000B31A1"/>
    <w:rsid w:val="000B3501"/>
    <w:rsid w:val="000B35A8"/>
    <w:rsid w:val="000B3676"/>
    <w:rsid w:val="000B3D25"/>
    <w:rsid w:val="000B43FD"/>
    <w:rsid w:val="000B46D4"/>
    <w:rsid w:val="000B4DEF"/>
    <w:rsid w:val="000B6DBB"/>
    <w:rsid w:val="000B6F9B"/>
    <w:rsid w:val="000B73A5"/>
    <w:rsid w:val="000C094F"/>
    <w:rsid w:val="000C1953"/>
    <w:rsid w:val="000C24F4"/>
    <w:rsid w:val="000C26DA"/>
    <w:rsid w:val="000C27D4"/>
    <w:rsid w:val="000C2F66"/>
    <w:rsid w:val="000C31E2"/>
    <w:rsid w:val="000C4566"/>
    <w:rsid w:val="000C4724"/>
    <w:rsid w:val="000C4A4D"/>
    <w:rsid w:val="000C50E1"/>
    <w:rsid w:val="000C53AD"/>
    <w:rsid w:val="000C5B3C"/>
    <w:rsid w:val="000C619A"/>
    <w:rsid w:val="000C6309"/>
    <w:rsid w:val="000C68B8"/>
    <w:rsid w:val="000C70F9"/>
    <w:rsid w:val="000C7FBA"/>
    <w:rsid w:val="000D010E"/>
    <w:rsid w:val="000D0D4B"/>
    <w:rsid w:val="000D1271"/>
    <w:rsid w:val="000D1D81"/>
    <w:rsid w:val="000D230F"/>
    <w:rsid w:val="000D323B"/>
    <w:rsid w:val="000D4EBC"/>
    <w:rsid w:val="000D4EF7"/>
    <w:rsid w:val="000D5433"/>
    <w:rsid w:val="000D627F"/>
    <w:rsid w:val="000D73FA"/>
    <w:rsid w:val="000E06A5"/>
    <w:rsid w:val="000E0A3C"/>
    <w:rsid w:val="000E0ECD"/>
    <w:rsid w:val="000E11C4"/>
    <w:rsid w:val="000E15D4"/>
    <w:rsid w:val="000E165A"/>
    <w:rsid w:val="000E2371"/>
    <w:rsid w:val="000E2613"/>
    <w:rsid w:val="000E3082"/>
    <w:rsid w:val="000E360C"/>
    <w:rsid w:val="000E37CB"/>
    <w:rsid w:val="000E38BE"/>
    <w:rsid w:val="000E39D9"/>
    <w:rsid w:val="000E4A41"/>
    <w:rsid w:val="000E4F5A"/>
    <w:rsid w:val="000E5EAE"/>
    <w:rsid w:val="000E628E"/>
    <w:rsid w:val="000E6352"/>
    <w:rsid w:val="000E6A76"/>
    <w:rsid w:val="000E7232"/>
    <w:rsid w:val="000E768A"/>
    <w:rsid w:val="000E7F5C"/>
    <w:rsid w:val="000F0312"/>
    <w:rsid w:val="000F1154"/>
    <w:rsid w:val="000F1E28"/>
    <w:rsid w:val="000F31A6"/>
    <w:rsid w:val="000F3ADF"/>
    <w:rsid w:val="000F400D"/>
    <w:rsid w:val="000F45AB"/>
    <w:rsid w:val="000F50D6"/>
    <w:rsid w:val="000F5386"/>
    <w:rsid w:val="000F55A9"/>
    <w:rsid w:val="000F5869"/>
    <w:rsid w:val="000F5CB8"/>
    <w:rsid w:val="000F5F95"/>
    <w:rsid w:val="000F764F"/>
    <w:rsid w:val="00100454"/>
    <w:rsid w:val="00100AA6"/>
    <w:rsid w:val="00100C8A"/>
    <w:rsid w:val="00100FB1"/>
    <w:rsid w:val="00101A7E"/>
    <w:rsid w:val="00102046"/>
    <w:rsid w:val="00103DC0"/>
    <w:rsid w:val="0010461B"/>
    <w:rsid w:val="0010546C"/>
    <w:rsid w:val="00105EC4"/>
    <w:rsid w:val="001063F0"/>
    <w:rsid w:val="00106DA0"/>
    <w:rsid w:val="0010710F"/>
    <w:rsid w:val="00107BB7"/>
    <w:rsid w:val="00111010"/>
    <w:rsid w:val="00111DA3"/>
    <w:rsid w:val="00112338"/>
    <w:rsid w:val="00112A0C"/>
    <w:rsid w:val="001150D4"/>
    <w:rsid w:val="00115B07"/>
    <w:rsid w:val="00116B02"/>
    <w:rsid w:val="0011797E"/>
    <w:rsid w:val="00117AD5"/>
    <w:rsid w:val="00120BBB"/>
    <w:rsid w:val="00120F65"/>
    <w:rsid w:val="0012127C"/>
    <w:rsid w:val="001224FB"/>
    <w:rsid w:val="001229A0"/>
    <w:rsid w:val="00122C2D"/>
    <w:rsid w:val="001237CF"/>
    <w:rsid w:val="001238DC"/>
    <w:rsid w:val="00123ECD"/>
    <w:rsid w:val="001241C4"/>
    <w:rsid w:val="00124BCB"/>
    <w:rsid w:val="00124EA1"/>
    <w:rsid w:val="001250CA"/>
    <w:rsid w:val="001254E3"/>
    <w:rsid w:val="001265EF"/>
    <w:rsid w:val="001273BB"/>
    <w:rsid w:val="00130F4A"/>
    <w:rsid w:val="001327CC"/>
    <w:rsid w:val="00132938"/>
    <w:rsid w:val="001332F7"/>
    <w:rsid w:val="00133975"/>
    <w:rsid w:val="00134174"/>
    <w:rsid w:val="00134309"/>
    <w:rsid w:val="001344AA"/>
    <w:rsid w:val="00136352"/>
    <w:rsid w:val="0013726D"/>
    <w:rsid w:val="00137395"/>
    <w:rsid w:val="001374BF"/>
    <w:rsid w:val="00137966"/>
    <w:rsid w:val="001401CC"/>
    <w:rsid w:val="00140983"/>
    <w:rsid w:val="0014126F"/>
    <w:rsid w:val="001418A3"/>
    <w:rsid w:val="001418BB"/>
    <w:rsid w:val="00142057"/>
    <w:rsid w:val="00142709"/>
    <w:rsid w:val="0014348A"/>
    <w:rsid w:val="001439DE"/>
    <w:rsid w:val="001453B2"/>
    <w:rsid w:val="00145862"/>
    <w:rsid w:val="00145CD8"/>
    <w:rsid w:val="00145FE1"/>
    <w:rsid w:val="00146202"/>
    <w:rsid w:val="00146AC3"/>
    <w:rsid w:val="00146B32"/>
    <w:rsid w:val="00146CD0"/>
    <w:rsid w:val="00147712"/>
    <w:rsid w:val="00150A0D"/>
    <w:rsid w:val="00150DDC"/>
    <w:rsid w:val="00151547"/>
    <w:rsid w:val="00151861"/>
    <w:rsid w:val="00151DCB"/>
    <w:rsid w:val="00151FF0"/>
    <w:rsid w:val="00152181"/>
    <w:rsid w:val="00152820"/>
    <w:rsid w:val="001531C5"/>
    <w:rsid w:val="0015320F"/>
    <w:rsid w:val="00153606"/>
    <w:rsid w:val="00153880"/>
    <w:rsid w:val="001553A8"/>
    <w:rsid w:val="00155B8C"/>
    <w:rsid w:val="00155DD6"/>
    <w:rsid w:val="0016152D"/>
    <w:rsid w:val="001623B4"/>
    <w:rsid w:val="001636DD"/>
    <w:rsid w:val="00163B5F"/>
    <w:rsid w:val="00164FFC"/>
    <w:rsid w:val="00165129"/>
    <w:rsid w:val="0016570D"/>
    <w:rsid w:val="00166364"/>
    <w:rsid w:val="001664DA"/>
    <w:rsid w:val="00167906"/>
    <w:rsid w:val="00167F77"/>
    <w:rsid w:val="00170D15"/>
    <w:rsid w:val="00171F4C"/>
    <w:rsid w:val="0017245F"/>
    <w:rsid w:val="0017355A"/>
    <w:rsid w:val="00173C0A"/>
    <w:rsid w:val="00173EF4"/>
    <w:rsid w:val="001742DA"/>
    <w:rsid w:val="00174763"/>
    <w:rsid w:val="00174A71"/>
    <w:rsid w:val="001758A5"/>
    <w:rsid w:val="00176E0D"/>
    <w:rsid w:val="001777CE"/>
    <w:rsid w:val="001779D7"/>
    <w:rsid w:val="00177DFD"/>
    <w:rsid w:val="001815F1"/>
    <w:rsid w:val="001818E9"/>
    <w:rsid w:val="001819F0"/>
    <w:rsid w:val="00181B82"/>
    <w:rsid w:val="001834D1"/>
    <w:rsid w:val="0018391E"/>
    <w:rsid w:val="00183BEA"/>
    <w:rsid w:val="00183C75"/>
    <w:rsid w:val="00183EC3"/>
    <w:rsid w:val="00184843"/>
    <w:rsid w:val="001855A7"/>
    <w:rsid w:val="00185664"/>
    <w:rsid w:val="00185B56"/>
    <w:rsid w:val="00185F59"/>
    <w:rsid w:val="00185FB5"/>
    <w:rsid w:val="00187D7A"/>
    <w:rsid w:val="00191EB7"/>
    <w:rsid w:val="001925A9"/>
    <w:rsid w:val="001926B4"/>
    <w:rsid w:val="00192B9D"/>
    <w:rsid w:val="00193A0D"/>
    <w:rsid w:val="001941A1"/>
    <w:rsid w:val="001944CF"/>
    <w:rsid w:val="00194D8A"/>
    <w:rsid w:val="00194E10"/>
    <w:rsid w:val="00195692"/>
    <w:rsid w:val="001957AD"/>
    <w:rsid w:val="0019585F"/>
    <w:rsid w:val="0019641A"/>
    <w:rsid w:val="0019763C"/>
    <w:rsid w:val="00197736"/>
    <w:rsid w:val="00197903"/>
    <w:rsid w:val="001A2625"/>
    <w:rsid w:val="001A2F51"/>
    <w:rsid w:val="001A42F8"/>
    <w:rsid w:val="001A54C8"/>
    <w:rsid w:val="001A574E"/>
    <w:rsid w:val="001A6FF1"/>
    <w:rsid w:val="001B02E8"/>
    <w:rsid w:val="001B0743"/>
    <w:rsid w:val="001B08A8"/>
    <w:rsid w:val="001B0BA2"/>
    <w:rsid w:val="001B1543"/>
    <w:rsid w:val="001B1C06"/>
    <w:rsid w:val="001B23AE"/>
    <w:rsid w:val="001B38D2"/>
    <w:rsid w:val="001B3A6A"/>
    <w:rsid w:val="001B3AAB"/>
    <w:rsid w:val="001B5BD5"/>
    <w:rsid w:val="001B68AD"/>
    <w:rsid w:val="001B7EBC"/>
    <w:rsid w:val="001C0829"/>
    <w:rsid w:val="001C12E1"/>
    <w:rsid w:val="001C22E6"/>
    <w:rsid w:val="001C2714"/>
    <w:rsid w:val="001C30CA"/>
    <w:rsid w:val="001C311C"/>
    <w:rsid w:val="001C322D"/>
    <w:rsid w:val="001C348C"/>
    <w:rsid w:val="001C3549"/>
    <w:rsid w:val="001C3808"/>
    <w:rsid w:val="001C3B98"/>
    <w:rsid w:val="001C52FC"/>
    <w:rsid w:val="001C5D0D"/>
    <w:rsid w:val="001C6C6B"/>
    <w:rsid w:val="001D0540"/>
    <w:rsid w:val="001D228F"/>
    <w:rsid w:val="001D2B3A"/>
    <w:rsid w:val="001D3D73"/>
    <w:rsid w:val="001D454C"/>
    <w:rsid w:val="001D45B7"/>
    <w:rsid w:val="001D4B49"/>
    <w:rsid w:val="001D5D58"/>
    <w:rsid w:val="001D6600"/>
    <w:rsid w:val="001D6A54"/>
    <w:rsid w:val="001D6DE6"/>
    <w:rsid w:val="001D7D2D"/>
    <w:rsid w:val="001E088C"/>
    <w:rsid w:val="001E20C1"/>
    <w:rsid w:val="001E2B38"/>
    <w:rsid w:val="001E3372"/>
    <w:rsid w:val="001E33A9"/>
    <w:rsid w:val="001E3537"/>
    <w:rsid w:val="001E36FF"/>
    <w:rsid w:val="001E3CC7"/>
    <w:rsid w:val="001E4BF2"/>
    <w:rsid w:val="001E5545"/>
    <w:rsid w:val="001E55D0"/>
    <w:rsid w:val="001E572D"/>
    <w:rsid w:val="001E59B1"/>
    <w:rsid w:val="001E5B09"/>
    <w:rsid w:val="001E6135"/>
    <w:rsid w:val="001E6715"/>
    <w:rsid w:val="001E6ACF"/>
    <w:rsid w:val="001E7046"/>
    <w:rsid w:val="001F0B28"/>
    <w:rsid w:val="001F12AE"/>
    <w:rsid w:val="001F1948"/>
    <w:rsid w:val="001F26D5"/>
    <w:rsid w:val="001F3221"/>
    <w:rsid w:val="001F3532"/>
    <w:rsid w:val="001F36D7"/>
    <w:rsid w:val="001F4E8C"/>
    <w:rsid w:val="001F4FD3"/>
    <w:rsid w:val="001F5889"/>
    <w:rsid w:val="001F60E4"/>
    <w:rsid w:val="001F624F"/>
    <w:rsid w:val="001F6EEA"/>
    <w:rsid w:val="001F74D5"/>
    <w:rsid w:val="00200F17"/>
    <w:rsid w:val="00202394"/>
    <w:rsid w:val="00202A43"/>
    <w:rsid w:val="002045CF"/>
    <w:rsid w:val="00204B5B"/>
    <w:rsid w:val="002060CE"/>
    <w:rsid w:val="002061B5"/>
    <w:rsid w:val="0020666D"/>
    <w:rsid w:val="0021088F"/>
    <w:rsid w:val="00210A87"/>
    <w:rsid w:val="00210C69"/>
    <w:rsid w:val="002115E8"/>
    <w:rsid w:val="002125D3"/>
    <w:rsid w:val="002127B0"/>
    <w:rsid w:val="00212F92"/>
    <w:rsid w:val="00213644"/>
    <w:rsid w:val="002139CD"/>
    <w:rsid w:val="00213DB0"/>
    <w:rsid w:val="00214FF3"/>
    <w:rsid w:val="00215E6F"/>
    <w:rsid w:val="002200F0"/>
    <w:rsid w:val="0022021C"/>
    <w:rsid w:val="002212ED"/>
    <w:rsid w:val="002214E6"/>
    <w:rsid w:val="002219E8"/>
    <w:rsid w:val="00221F81"/>
    <w:rsid w:val="002227A4"/>
    <w:rsid w:val="00223838"/>
    <w:rsid w:val="00223A06"/>
    <w:rsid w:val="002248F8"/>
    <w:rsid w:val="0022526A"/>
    <w:rsid w:val="00225537"/>
    <w:rsid w:val="002260D4"/>
    <w:rsid w:val="00226466"/>
    <w:rsid w:val="00226702"/>
    <w:rsid w:val="00227189"/>
    <w:rsid w:val="00227418"/>
    <w:rsid w:val="00227E37"/>
    <w:rsid w:val="00227F92"/>
    <w:rsid w:val="00230AD6"/>
    <w:rsid w:val="00230CE2"/>
    <w:rsid w:val="00231902"/>
    <w:rsid w:val="00232F27"/>
    <w:rsid w:val="002336AC"/>
    <w:rsid w:val="00235122"/>
    <w:rsid w:val="0023635D"/>
    <w:rsid w:val="00236926"/>
    <w:rsid w:val="0023745B"/>
    <w:rsid w:val="00237733"/>
    <w:rsid w:val="00237949"/>
    <w:rsid w:val="00237C3E"/>
    <w:rsid w:val="00240ADF"/>
    <w:rsid w:val="00241272"/>
    <w:rsid w:val="00242109"/>
    <w:rsid w:val="00242478"/>
    <w:rsid w:val="002434A2"/>
    <w:rsid w:val="002438B5"/>
    <w:rsid w:val="00244006"/>
    <w:rsid w:val="00244446"/>
    <w:rsid w:val="0024450C"/>
    <w:rsid w:val="00245160"/>
    <w:rsid w:val="00245941"/>
    <w:rsid w:val="00246059"/>
    <w:rsid w:val="0024668D"/>
    <w:rsid w:val="00250047"/>
    <w:rsid w:val="00250321"/>
    <w:rsid w:val="002504AF"/>
    <w:rsid w:val="0025055D"/>
    <w:rsid w:val="00250CFF"/>
    <w:rsid w:val="0025110D"/>
    <w:rsid w:val="00251A7C"/>
    <w:rsid w:val="00251D92"/>
    <w:rsid w:val="00251DC3"/>
    <w:rsid w:val="00253486"/>
    <w:rsid w:val="00253EB8"/>
    <w:rsid w:val="0025557E"/>
    <w:rsid w:val="00256545"/>
    <w:rsid w:val="00257101"/>
    <w:rsid w:val="00257BC8"/>
    <w:rsid w:val="00260300"/>
    <w:rsid w:val="0026124A"/>
    <w:rsid w:val="002614A4"/>
    <w:rsid w:val="002627F1"/>
    <w:rsid w:val="0026370B"/>
    <w:rsid w:val="00265330"/>
    <w:rsid w:val="00265396"/>
    <w:rsid w:val="0026553B"/>
    <w:rsid w:val="00265762"/>
    <w:rsid w:val="00265C06"/>
    <w:rsid w:val="00265C57"/>
    <w:rsid w:val="00266FCA"/>
    <w:rsid w:val="00266FE7"/>
    <w:rsid w:val="002673C3"/>
    <w:rsid w:val="00267E72"/>
    <w:rsid w:val="002703F9"/>
    <w:rsid w:val="00271974"/>
    <w:rsid w:val="00271F41"/>
    <w:rsid w:val="0027212F"/>
    <w:rsid w:val="00272903"/>
    <w:rsid w:val="002737D4"/>
    <w:rsid w:val="00273B0C"/>
    <w:rsid w:val="00273E59"/>
    <w:rsid w:val="002741A2"/>
    <w:rsid w:val="002751C1"/>
    <w:rsid w:val="00275422"/>
    <w:rsid w:val="00275560"/>
    <w:rsid w:val="0027644B"/>
    <w:rsid w:val="002774FB"/>
    <w:rsid w:val="0027777D"/>
    <w:rsid w:val="002806B4"/>
    <w:rsid w:val="00280A2D"/>
    <w:rsid w:val="00280B2C"/>
    <w:rsid w:val="00280D85"/>
    <w:rsid w:val="00280E1E"/>
    <w:rsid w:val="00281C71"/>
    <w:rsid w:val="00281E26"/>
    <w:rsid w:val="00282D4D"/>
    <w:rsid w:val="00283E5E"/>
    <w:rsid w:val="0028400D"/>
    <w:rsid w:val="002849E8"/>
    <w:rsid w:val="002857D9"/>
    <w:rsid w:val="00286D8C"/>
    <w:rsid w:val="002876FE"/>
    <w:rsid w:val="00287ABA"/>
    <w:rsid w:val="00290AA9"/>
    <w:rsid w:val="00292209"/>
    <w:rsid w:val="0029229E"/>
    <w:rsid w:val="0029358B"/>
    <w:rsid w:val="00294038"/>
    <w:rsid w:val="00294235"/>
    <w:rsid w:val="00294B4A"/>
    <w:rsid w:val="00294BD8"/>
    <w:rsid w:val="00296C76"/>
    <w:rsid w:val="00297E57"/>
    <w:rsid w:val="002A12AD"/>
    <w:rsid w:val="002A12E4"/>
    <w:rsid w:val="002A4DEB"/>
    <w:rsid w:val="002A6823"/>
    <w:rsid w:val="002A7096"/>
    <w:rsid w:val="002A71F4"/>
    <w:rsid w:val="002A7326"/>
    <w:rsid w:val="002A759D"/>
    <w:rsid w:val="002A7BC0"/>
    <w:rsid w:val="002B239B"/>
    <w:rsid w:val="002B58E3"/>
    <w:rsid w:val="002B64AF"/>
    <w:rsid w:val="002B6EF6"/>
    <w:rsid w:val="002B70F9"/>
    <w:rsid w:val="002C016B"/>
    <w:rsid w:val="002C0316"/>
    <w:rsid w:val="002C3275"/>
    <w:rsid w:val="002C32AE"/>
    <w:rsid w:val="002C3820"/>
    <w:rsid w:val="002C3BC3"/>
    <w:rsid w:val="002C3F5C"/>
    <w:rsid w:val="002C522B"/>
    <w:rsid w:val="002C52DF"/>
    <w:rsid w:val="002C6F3C"/>
    <w:rsid w:val="002C7BA6"/>
    <w:rsid w:val="002D00C9"/>
    <w:rsid w:val="002D05C9"/>
    <w:rsid w:val="002D06BC"/>
    <w:rsid w:val="002D1A8D"/>
    <w:rsid w:val="002D20EF"/>
    <w:rsid w:val="002D2D07"/>
    <w:rsid w:val="002D34D2"/>
    <w:rsid w:val="002D4170"/>
    <w:rsid w:val="002D45E7"/>
    <w:rsid w:val="002D64F5"/>
    <w:rsid w:val="002D6AF2"/>
    <w:rsid w:val="002D6CC8"/>
    <w:rsid w:val="002D71D9"/>
    <w:rsid w:val="002D74A1"/>
    <w:rsid w:val="002D7D34"/>
    <w:rsid w:val="002E0244"/>
    <w:rsid w:val="002E0696"/>
    <w:rsid w:val="002E0EA9"/>
    <w:rsid w:val="002E362C"/>
    <w:rsid w:val="002E3E71"/>
    <w:rsid w:val="002E4AFC"/>
    <w:rsid w:val="002E5060"/>
    <w:rsid w:val="002E5190"/>
    <w:rsid w:val="002E5CC4"/>
    <w:rsid w:val="002E5E52"/>
    <w:rsid w:val="002E6FF7"/>
    <w:rsid w:val="002E762A"/>
    <w:rsid w:val="002F0A37"/>
    <w:rsid w:val="002F0FF7"/>
    <w:rsid w:val="002F16AF"/>
    <w:rsid w:val="002F1A2C"/>
    <w:rsid w:val="002F1BB5"/>
    <w:rsid w:val="002F2F6D"/>
    <w:rsid w:val="002F3BC8"/>
    <w:rsid w:val="002F3D08"/>
    <w:rsid w:val="002F3D25"/>
    <w:rsid w:val="002F4133"/>
    <w:rsid w:val="002F46CE"/>
    <w:rsid w:val="003005DD"/>
    <w:rsid w:val="003018E1"/>
    <w:rsid w:val="00301DA2"/>
    <w:rsid w:val="003024B6"/>
    <w:rsid w:val="00302C16"/>
    <w:rsid w:val="003038A6"/>
    <w:rsid w:val="00303F8F"/>
    <w:rsid w:val="0030489A"/>
    <w:rsid w:val="00305B9E"/>
    <w:rsid w:val="00306467"/>
    <w:rsid w:val="00306804"/>
    <w:rsid w:val="00306CF9"/>
    <w:rsid w:val="00306D09"/>
    <w:rsid w:val="0031023E"/>
    <w:rsid w:val="003103C2"/>
    <w:rsid w:val="00311601"/>
    <w:rsid w:val="003122B3"/>
    <w:rsid w:val="00312859"/>
    <w:rsid w:val="003138C4"/>
    <w:rsid w:val="00314FD8"/>
    <w:rsid w:val="003153C9"/>
    <w:rsid w:val="00316856"/>
    <w:rsid w:val="00316DD4"/>
    <w:rsid w:val="00316FE1"/>
    <w:rsid w:val="003201F9"/>
    <w:rsid w:val="00320FA4"/>
    <w:rsid w:val="003215AD"/>
    <w:rsid w:val="00321B84"/>
    <w:rsid w:val="003226E9"/>
    <w:rsid w:val="00323097"/>
    <w:rsid w:val="0032328F"/>
    <w:rsid w:val="0032405F"/>
    <w:rsid w:val="00324914"/>
    <w:rsid w:val="003257C8"/>
    <w:rsid w:val="003259D3"/>
    <w:rsid w:val="00325B46"/>
    <w:rsid w:val="003261F2"/>
    <w:rsid w:val="00327964"/>
    <w:rsid w:val="0033079E"/>
    <w:rsid w:val="003318E4"/>
    <w:rsid w:val="0033228D"/>
    <w:rsid w:val="00332540"/>
    <w:rsid w:val="0033402F"/>
    <w:rsid w:val="00334FA0"/>
    <w:rsid w:val="00336D4E"/>
    <w:rsid w:val="003370B1"/>
    <w:rsid w:val="003372CF"/>
    <w:rsid w:val="003404BA"/>
    <w:rsid w:val="00340913"/>
    <w:rsid w:val="003412EE"/>
    <w:rsid w:val="003417B1"/>
    <w:rsid w:val="00341E2C"/>
    <w:rsid w:val="00341F6C"/>
    <w:rsid w:val="0034228E"/>
    <w:rsid w:val="00342A24"/>
    <w:rsid w:val="00343855"/>
    <w:rsid w:val="003438BF"/>
    <w:rsid w:val="00343AE8"/>
    <w:rsid w:val="0034465D"/>
    <w:rsid w:val="00344C5C"/>
    <w:rsid w:val="0034621E"/>
    <w:rsid w:val="00346DB6"/>
    <w:rsid w:val="003476BC"/>
    <w:rsid w:val="00347B9C"/>
    <w:rsid w:val="003506B9"/>
    <w:rsid w:val="00351327"/>
    <w:rsid w:val="00351E96"/>
    <w:rsid w:val="00351F0D"/>
    <w:rsid w:val="00353BC5"/>
    <w:rsid w:val="00353C1A"/>
    <w:rsid w:val="00353FAB"/>
    <w:rsid w:val="0035466D"/>
    <w:rsid w:val="00354BB6"/>
    <w:rsid w:val="00354E4F"/>
    <w:rsid w:val="003552BB"/>
    <w:rsid w:val="00356C1B"/>
    <w:rsid w:val="00356CED"/>
    <w:rsid w:val="00356D3A"/>
    <w:rsid w:val="00361374"/>
    <w:rsid w:val="00361467"/>
    <w:rsid w:val="00361B7B"/>
    <w:rsid w:val="003626AF"/>
    <w:rsid w:val="00362E40"/>
    <w:rsid w:val="0036439B"/>
    <w:rsid w:val="00365956"/>
    <w:rsid w:val="00366489"/>
    <w:rsid w:val="00366848"/>
    <w:rsid w:val="00366A39"/>
    <w:rsid w:val="00367EF1"/>
    <w:rsid w:val="00370F43"/>
    <w:rsid w:val="00370F6C"/>
    <w:rsid w:val="003710A6"/>
    <w:rsid w:val="003722FD"/>
    <w:rsid w:val="00372455"/>
    <w:rsid w:val="003725AD"/>
    <w:rsid w:val="00372EF6"/>
    <w:rsid w:val="00373074"/>
    <w:rsid w:val="00373702"/>
    <w:rsid w:val="0037432D"/>
    <w:rsid w:val="003752DE"/>
    <w:rsid w:val="00376267"/>
    <w:rsid w:val="00377122"/>
    <w:rsid w:val="00377470"/>
    <w:rsid w:val="00377C8C"/>
    <w:rsid w:val="00380449"/>
    <w:rsid w:val="003805C5"/>
    <w:rsid w:val="0038127D"/>
    <w:rsid w:val="00381C87"/>
    <w:rsid w:val="00381D13"/>
    <w:rsid w:val="00382E39"/>
    <w:rsid w:val="0038314D"/>
    <w:rsid w:val="00383251"/>
    <w:rsid w:val="003833D0"/>
    <w:rsid w:val="00383BE9"/>
    <w:rsid w:val="00383DE4"/>
    <w:rsid w:val="0038445E"/>
    <w:rsid w:val="003844A3"/>
    <w:rsid w:val="0038509D"/>
    <w:rsid w:val="00385ADF"/>
    <w:rsid w:val="00386CF9"/>
    <w:rsid w:val="0038793C"/>
    <w:rsid w:val="003900E7"/>
    <w:rsid w:val="00390119"/>
    <w:rsid w:val="00390655"/>
    <w:rsid w:val="00390980"/>
    <w:rsid w:val="00390CF1"/>
    <w:rsid w:val="00390CF5"/>
    <w:rsid w:val="00390DAA"/>
    <w:rsid w:val="00390E63"/>
    <w:rsid w:val="0039204C"/>
    <w:rsid w:val="00392317"/>
    <w:rsid w:val="00394F0E"/>
    <w:rsid w:val="003951CE"/>
    <w:rsid w:val="00395DFD"/>
    <w:rsid w:val="00395E91"/>
    <w:rsid w:val="00396940"/>
    <w:rsid w:val="00396FDC"/>
    <w:rsid w:val="003A1FCD"/>
    <w:rsid w:val="003A2683"/>
    <w:rsid w:val="003A2685"/>
    <w:rsid w:val="003A29AA"/>
    <w:rsid w:val="003A2F0D"/>
    <w:rsid w:val="003A4746"/>
    <w:rsid w:val="003A507B"/>
    <w:rsid w:val="003A5B5E"/>
    <w:rsid w:val="003A6499"/>
    <w:rsid w:val="003A64E9"/>
    <w:rsid w:val="003A6F73"/>
    <w:rsid w:val="003B17C4"/>
    <w:rsid w:val="003B187B"/>
    <w:rsid w:val="003B1B95"/>
    <w:rsid w:val="003B2829"/>
    <w:rsid w:val="003B2D75"/>
    <w:rsid w:val="003B30CC"/>
    <w:rsid w:val="003B30D6"/>
    <w:rsid w:val="003B36EF"/>
    <w:rsid w:val="003B55DD"/>
    <w:rsid w:val="003B5AC5"/>
    <w:rsid w:val="003B5D23"/>
    <w:rsid w:val="003B5F5C"/>
    <w:rsid w:val="003B61BC"/>
    <w:rsid w:val="003B7344"/>
    <w:rsid w:val="003B7929"/>
    <w:rsid w:val="003B795A"/>
    <w:rsid w:val="003C0062"/>
    <w:rsid w:val="003C062B"/>
    <w:rsid w:val="003C1816"/>
    <w:rsid w:val="003C185E"/>
    <w:rsid w:val="003C1E7B"/>
    <w:rsid w:val="003C293B"/>
    <w:rsid w:val="003C36A0"/>
    <w:rsid w:val="003C4383"/>
    <w:rsid w:val="003C5500"/>
    <w:rsid w:val="003C5C69"/>
    <w:rsid w:val="003C5CA9"/>
    <w:rsid w:val="003C5D3F"/>
    <w:rsid w:val="003C5FCD"/>
    <w:rsid w:val="003C60A1"/>
    <w:rsid w:val="003C6FE8"/>
    <w:rsid w:val="003C71DE"/>
    <w:rsid w:val="003C7F5B"/>
    <w:rsid w:val="003D03B1"/>
    <w:rsid w:val="003D0C8C"/>
    <w:rsid w:val="003D0F27"/>
    <w:rsid w:val="003D24A1"/>
    <w:rsid w:val="003D2ABC"/>
    <w:rsid w:val="003D326D"/>
    <w:rsid w:val="003D3DAD"/>
    <w:rsid w:val="003D4D9C"/>
    <w:rsid w:val="003E1AE6"/>
    <w:rsid w:val="003E2A8D"/>
    <w:rsid w:val="003E2E12"/>
    <w:rsid w:val="003E3536"/>
    <w:rsid w:val="003E419B"/>
    <w:rsid w:val="003E485E"/>
    <w:rsid w:val="003E5BA6"/>
    <w:rsid w:val="003E5C6E"/>
    <w:rsid w:val="003E6960"/>
    <w:rsid w:val="003F10AC"/>
    <w:rsid w:val="003F10D8"/>
    <w:rsid w:val="003F15B5"/>
    <w:rsid w:val="003F1B94"/>
    <w:rsid w:val="003F2CF0"/>
    <w:rsid w:val="003F337E"/>
    <w:rsid w:val="003F386B"/>
    <w:rsid w:val="003F4096"/>
    <w:rsid w:val="003F53F0"/>
    <w:rsid w:val="003F5686"/>
    <w:rsid w:val="003F6BAB"/>
    <w:rsid w:val="003F6E48"/>
    <w:rsid w:val="003F7461"/>
    <w:rsid w:val="003F761F"/>
    <w:rsid w:val="003F76A2"/>
    <w:rsid w:val="003F7A4E"/>
    <w:rsid w:val="003F7A9B"/>
    <w:rsid w:val="003F7DD8"/>
    <w:rsid w:val="00400CA3"/>
    <w:rsid w:val="00402318"/>
    <w:rsid w:val="0040235D"/>
    <w:rsid w:val="0040244C"/>
    <w:rsid w:val="0040294E"/>
    <w:rsid w:val="00403C8C"/>
    <w:rsid w:val="0040410B"/>
    <w:rsid w:val="004049BB"/>
    <w:rsid w:val="00405B2B"/>
    <w:rsid w:val="00407D49"/>
    <w:rsid w:val="0041143C"/>
    <w:rsid w:val="0041166A"/>
    <w:rsid w:val="00411F64"/>
    <w:rsid w:val="00412383"/>
    <w:rsid w:val="0041321C"/>
    <w:rsid w:val="00413B41"/>
    <w:rsid w:val="00414225"/>
    <w:rsid w:val="004144E5"/>
    <w:rsid w:val="00414735"/>
    <w:rsid w:val="00414CC1"/>
    <w:rsid w:val="00415A2C"/>
    <w:rsid w:val="00416270"/>
    <w:rsid w:val="004162F5"/>
    <w:rsid w:val="0041633D"/>
    <w:rsid w:val="004164CA"/>
    <w:rsid w:val="00416671"/>
    <w:rsid w:val="00416F54"/>
    <w:rsid w:val="00417200"/>
    <w:rsid w:val="004173D3"/>
    <w:rsid w:val="00417E4B"/>
    <w:rsid w:val="00420AF3"/>
    <w:rsid w:val="00420C7E"/>
    <w:rsid w:val="00420CAC"/>
    <w:rsid w:val="00421D7D"/>
    <w:rsid w:val="0042232B"/>
    <w:rsid w:val="004224B7"/>
    <w:rsid w:val="00422DAE"/>
    <w:rsid w:val="004245AA"/>
    <w:rsid w:val="00424A00"/>
    <w:rsid w:val="00424FFA"/>
    <w:rsid w:val="00425E9A"/>
    <w:rsid w:val="00425FA1"/>
    <w:rsid w:val="00427069"/>
    <w:rsid w:val="00427D00"/>
    <w:rsid w:val="004329DA"/>
    <w:rsid w:val="004331C0"/>
    <w:rsid w:val="004334C4"/>
    <w:rsid w:val="00433F08"/>
    <w:rsid w:val="00435134"/>
    <w:rsid w:val="00435183"/>
    <w:rsid w:val="00435341"/>
    <w:rsid w:val="00436148"/>
    <w:rsid w:val="0044021D"/>
    <w:rsid w:val="004410F9"/>
    <w:rsid w:val="0044177B"/>
    <w:rsid w:val="00441787"/>
    <w:rsid w:val="00441DE3"/>
    <w:rsid w:val="00441F42"/>
    <w:rsid w:val="0044201C"/>
    <w:rsid w:val="0044299E"/>
    <w:rsid w:val="004438FE"/>
    <w:rsid w:val="00443F1C"/>
    <w:rsid w:val="00443F4E"/>
    <w:rsid w:val="00444145"/>
    <w:rsid w:val="0044540A"/>
    <w:rsid w:val="00447ECA"/>
    <w:rsid w:val="00450065"/>
    <w:rsid w:val="00450A91"/>
    <w:rsid w:val="0045183C"/>
    <w:rsid w:val="00451E30"/>
    <w:rsid w:val="004526E6"/>
    <w:rsid w:val="00452CB7"/>
    <w:rsid w:val="00452E1A"/>
    <w:rsid w:val="0045376B"/>
    <w:rsid w:val="004537FF"/>
    <w:rsid w:val="0045392E"/>
    <w:rsid w:val="0045411D"/>
    <w:rsid w:val="004541D0"/>
    <w:rsid w:val="00454446"/>
    <w:rsid w:val="00454761"/>
    <w:rsid w:val="00454C66"/>
    <w:rsid w:val="00455166"/>
    <w:rsid w:val="00455CCF"/>
    <w:rsid w:val="00455D69"/>
    <w:rsid w:val="00455F15"/>
    <w:rsid w:val="004564A8"/>
    <w:rsid w:val="00456ECB"/>
    <w:rsid w:val="00456FB3"/>
    <w:rsid w:val="00457194"/>
    <w:rsid w:val="004572DC"/>
    <w:rsid w:val="004603AB"/>
    <w:rsid w:val="0046194E"/>
    <w:rsid w:val="00461CFB"/>
    <w:rsid w:val="00461E87"/>
    <w:rsid w:val="00462C9F"/>
    <w:rsid w:val="00462D58"/>
    <w:rsid w:val="00463397"/>
    <w:rsid w:val="00463787"/>
    <w:rsid w:val="00464130"/>
    <w:rsid w:val="0046467E"/>
    <w:rsid w:val="00464E0A"/>
    <w:rsid w:val="00465DBB"/>
    <w:rsid w:val="00466C43"/>
    <w:rsid w:val="00467200"/>
    <w:rsid w:val="0046777E"/>
    <w:rsid w:val="00467936"/>
    <w:rsid w:val="00467E1C"/>
    <w:rsid w:val="0047062B"/>
    <w:rsid w:val="00471EC0"/>
    <w:rsid w:val="004732A6"/>
    <w:rsid w:val="00473436"/>
    <w:rsid w:val="004737A9"/>
    <w:rsid w:val="00473F00"/>
    <w:rsid w:val="00474EA9"/>
    <w:rsid w:val="0047637E"/>
    <w:rsid w:val="004779C3"/>
    <w:rsid w:val="00477B5A"/>
    <w:rsid w:val="00480FDF"/>
    <w:rsid w:val="0048120A"/>
    <w:rsid w:val="00481484"/>
    <w:rsid w:val="00482644"/>
    <w:rsid w:val="00483CEB"/>
    <w:rsid w:val="00483FFF"/>
    <w:rsid w:val="00484181"/>
    <w:rsid w:val="00486592"/>
    <w:rsid w:val="00487AAA"/>
    <w:rsid w:val="0049098E"/>
    <w:rsid w:val="0049105E"/>
    <w:rsid w:val="004921C9"/>
    <w:rsid w:val="00492EC2"/>
    <w:rsid w:val="00493485"/>
    <w:rsid w:val="0049349D"/>
    <w:rsid w:val="00494871"/>
    <w:rsid w:val="00495A76"/>
    <w:rsid w:val="00495E30"/>
    <w:rsid w:val="00496E83"/>
    <w:rsid w:val="0049700A"/>
    <w:rsid w:val="00497435"/>
    <w:rsid w:val="00497999"/>
    <w:rsid w:val="004A00DA"/>
    <w:rsid w:val="004A0103"/>
    <w:rsid w:val="004A0479"/>
    <w:rsid w:val="004A06B8"/>
    <w:rsid w:val="004A09FD"/>
    <w:rsid w:val="004A0CB2"/>
    <w:rsid w:val="004A1140"/>
    <w:rsid w:val="004A1855"/>
    <w:rsid w:val="004A1922"/>
    <w:rsid w:val="004A1A90"/>
    <w:rsid w:val="004A1DFF"/>
    <w:rsid w:val="004A4480"/>
    <w:rsid w:val="004A4C98"/>
    <w:rsid w:val="004A50ED"/>
    <w:rsid w:val="004A5365"/>
    <w:rsid w:val="004A588B"/>
    <w:rsid w:val="004A5FF3"/>
    <w:rsid w:val="004A70D6"/>
    <w:rsid w:val="004A7A2C"/>
    <w:rsid w:val="004B029F"/>
    <w:rsid w:val="004B06C5"/>
    <w:rsid w:val="004B1392"/>
    <w:rsid w:val="004B1AED"/>
    <w:rsid w:val="004B1E6D"/>
    <w:rsid w:val="004B212D"/>
    <w:rsid w:val="004B28DF"/>
    <w:rsid w:val="004B2B97"/>
    <w:rsid w:val="004B3AFA"/>
    <w:rsid w:val="004B4170"/>
    <w:rsid w:val="004B6449"/>
    <w:rsid w:val="004B684B"/>
    <w:rsid w:val="004B6872"/>
    <w:rsid w:val="004B6994"/>
    <w:rsid w:val="004B7E83"/>
    <w:rsid w:val="004C0A04"/>
    <w:rsid w:val="004C1807"/>
    <w:rsid w:val="004C18B6"/>
    <w:rsid w:val="004C2DCC"/>
    <w:rsid w:val="004C3A38"/>
    <w:rsid w:val="004C450B"/>
    <w:rsid w:val="004C4A87"/>
    <w:rsid w:val="004C66F7"/>
    <w:rsid w:val="004C6CB5"/>
    <w:rsid w:val="004C6CEC"/>
    <w:rsid w:val="004C76C7"/>
    <w:rsid w:val="004D01DC"/>
    <w:rsid w:val="004D0850"/>
    <w:rsid w:val="004D097F"/>
    <w:rsid w:val="004D26DA"/>
    <w:rsid w:val="004D29D5"/>
    <w:rsid w:val="004D2A0D"/>
    <w:rsid w:val="004D2FC3"/>
    <w:rsid w:val="004D3111"/>
    <w:rsid w:val="004D3232"/>
    <w:rsid w:val="004D32B6"/>
    <w:rsid w:val="004D369A"/>
    <w:rsid w:val="004D6374"/>
    <w:rsid w:val="004D679F"/>
    <w:rsid w:val="004D7ACC"/>
    <w:rsid w:val="004E049E"/>
    <w:rsid w:val="004E06F8"/>
    <w:rsid w:val="004E0941"/>
    <w:rsid w:val="004E21EE"/>
    <w:rsid w:val="004E3B21"/>
    <w:rsid w:val="004E40BD"/>
    <w:rsid w:val="004E423A"/>
    <w:rsid w:val="004E4889"/>
    <w:rsid w:val="004E4C5F"/>
    <w:rsid w:val="004E5992"/>
    <w:rsid w:val="004E6086"/>
    <w:rsid w:val="004E6178"/>
    <w:rsid w:val="004E7C11"/>
    <w:rsid w:val="004F02D5"/>
    <w:rsid w:val="004F167F"/>
    <w:rsid w:val="004F1B04"/>
    <w:rsid w:val="004F1D48"/>
    <w:rsid w:val="004F294A"/>
    <w:rsid w:val="004F3E12"/>
    <w:rsid w:val="004F3F4A"/>
    <w:rsid w:val="004F40C6"/>
    <w:rsid w:val="004F4FA5"/>
    <w:rsid w:val="004F5956"/>
    <w:rsid w:val="004F5C79"/>
    <w:rsid w:val="004F5E43"/>
    <w:rsid w:val="004F7773"/>
    <w:rsid w:val="004F7C83"/>
    <w:rsid w:val="00500B93"/>
    <w:rsid w:val="00501127"/>
    <w:rsid w:val="00502DA7"/>
    <w:rsid w:val="005039D3"/>
    <w:rsid w:val="00503F63"/>
    <w:rsid w:val="005050D9"/>
    <w:rsid w:val="00505EBB"/>
    <w:rsid w:val="0050686F"/>
    <w:rsid w:val="00506D5B"/>
    <w:rsid w:val="005071CD"/>
    <w:rsid w:val="0050732D"/>
    <w:rsid w:val="00507C50"/>
    <w:rsid w:val="005100EA"/>
    <w:rsid w:val="005104BB"/>
    <w:rsid w:val="005118A8"/>
    <w:rsid w:val="005119C5"/>
    <w:rsid w:val="00511E06"/>
    <w:rsid w:val="00512213"/>
    <w:rsid w:val="005139D3"/>
    <w:rsid w:val="005151CA"/>
    <w:rsid w:val="0051553C"/>
    <w:rsid w:val="005164A7"/>
    <w:rsid w:val="005168D3"/>
    <w:rsid w:val="00517597"/>
    <w:rsid w:val="0051771A"/>
    <w:rsid w:val="0051773D"/>
    <w:rsid w:val="00517906"/>
    <w:rsid w:val="005201D4"/>
    <w:rsid w:val="005203E1"/>
    <w:rsid w:val="00520FCD"/>
    <w:rsid w:val="00521C5A"/>
    <w:rsid w:val="00522F0B"/>
    <w:rsid w:val="0052351D"/>
    <w:rsid w:val="00523CA8"/>
    <w:rsid w:val="00523CC7"/>
    <w:rsid w:val="005248B0"/>
    <w:rsid w:val="00524DEA"/>
    <w:rsid w:val="0052529E"/>
    <w:rsid w:val="005252D6"/>
    <w:rsid w:val="0053005A"/>
    <w:rsid w:val="00531229"/>
    <w:rsid w:val="005312BC"/>
    <w:rsid w:val="005317B5"/>
    <w:rsid w:val="005319B0"/>
    <w:rsid w:val="00531D18"/>
    <w:rsid w:val="00531D84"/>
    <w:rsid w:val="00533547"/>
    <w:rsid w:val="00533B5D"/>
    <w:rsid w:val="00534807"/>
    <w:rsid w:val="00535833"/>
    <w:rsid w:val="00535834"/>
    <w:rsid w:val="00535AD0"/>
    <w:rsid w:val="00536FCB"/>
    <w:rsid w:val="005379AB"/>
    <w:rsid w:val="00537B4E"/>
    <w:rsid w:val="005408A8"/>
    <w:rsid w:val="005425F8"/>
    <w:rsid w:val="005440BE"/>
    <w:rsid w:val="005453DA"/>
    <w:rsid w:val="005454E8"/>
    <w:rsid w:val="005459D0"/>
    <w:rsid w:val="00545F83"/>
    <w:rsid w:val="005461C2"/>
    <w:rsid w:val="00546442"/>
    <w:rsid w:val="00546BC1"/>
    <w:rsid w:val="0055064F"/>
    <w:rsid w:val="0055072E"/>
    <w:rsid w:val="00550751"/>
    <w:rsid w:val="00552125"/>
    <w:rsid w:val="00552874"/>
    <w:rsid w:val="00553534"/>
    <w:rsid w:val="005537BE"/>
    <w:rsid w:val="0055427A"/>
    <w:rsid w:val="0055551C"/>
    <w:rsid w:val="00556392"/>
    <w:rsid w:val="00557A25"/>
    <w:rsid w:val="00560ACE"/>
    <w:rsid w:val="00561313"/>
    <w:rsid w:val="005617F3"/>
    <w:rsid w:val="00561C34"/>
    <w:rsid w:val="00561F09"/>
    <w:rsid w:val="005621A8"/>
    <w:rsid w:val="0056284E"/>
    <w:rsid w:val="005636BA"/>
    <w:rsid w:val="00563EEA"/>
    <w:rsid w:val="005645A6"/>
    <w:rsid w:val="00565173"/>
    <w:rsid w:val="005654E0"/>
    <w:rsid w:val="005668AA"/>
    <w:rsid w:val="005675B5"/>
    <w:rsid w:val="00571D1A"/>
    <w:rsid w:val="00572C82"/>
    <w:rsid w:val="00573325"/>
    <w:rsid w:val="0057334A"/>
    <w:rsid w:val="00573432"/>
    <w:rsid w:val="00573508"/>
    <w:rsid w:val="00573646"/>
    <w:rsid w:val="0057412F"/>
    <w:rsid w:val="00574409"/>
    <w:rsid w:val="005746DE"/>
    <w:rsid w:val="005753DF"/>
    <w:rsid w:val="005757CE"/>
    <w:rsid w:val="00575981"/>
    <w:rsid w:val="00576C28"/>
    <w:rsid w:val="00576D3B"/>
    <w:rsid w:val="00577587"/>
    <w:rsid w:val="00580198"/>
    <w:rsid w:val="005802BD"/>
    <w:rsid w:val="00580823"/>
    <w:rsid w:val="0058124C"/>
    <w:rsid w:val="00581D5D"/>
    <w:rsid w:val="00582553"/>
    <w:rsid w:val="00582CED"/>
    <w:rsid w:val="005839FB"/>
    <w:rsid w:val="00584978"/>
    <w:rsid w:val="00584A75"/>
    <w:rsid w:val="00584AD4"/>
    <w:rsid w:val="00585B10"/>
    <w:rsid w:val="005865D2"/>
    <w:rsid w:val="00586E5D"/>
    <w:rsid w:val="00590752"/>
    <w:rsid w:val="00592574"/>
    <w:rsid w:val="00592B08"/>
    <w:rsid w:val="00593638"/>
    <w:rsid w:val="00594500"/>
    <w:rsid w:val="00594E29"/>
    <w:rsid w:val="00594F3A"/>
    <w:rsid w:val="005952BA"/>
    <w:rsid w:val="00595ACB"/>
    <w:rsid w:val="00595CDB"/>
    <w:rsid w:val="005972FF"/>
    <w:rsid w:val="005A11A3"/>
    <w:rsid w:val="005A173C"/>
    <w:rsid w:val="005A2DC6"/>
    <w:rsid w:val="005A3892"/>
    <w:rsid w:val="005A3CD9"/>
    <w:rsid w:val="005A3E9A"/>
    <w:rsid w:val="005A5C27"/>
    <w:rsid w:val="005A69CB"/>
    <w:rsid w:val="005A6A86"/>
    <w:rsid w:val="005B0868"/>
    <w:rsid w:val="005B1A0B"/>
    <w:rsid w:val="005B1A53"/>
    <w:rsid w:val="005B1EC5"/>
    <w:rsid w:val="005B264E"/>
    <w:rsid w:val="005B2FF5"/>
    <w:rsid w:val="005B31D1"/>
    <w:rsid w:val="005B38FF"/>
    <w:rsid w:val="005B4F14"/>
    <w:rsid w:val="005B5469"/>
    <w:rsid w:val="005B54E5"/>
    <w:rsid w:val="005B5811"/>
    <w:rsid w:val="005B60CF"/>
    <w:rsid w:val="005B61EC"/>
    <w:rsid w:val="005B6FF9"/>
    <w:rsid w:val="005B7674"/>
    <w:rsid w:val="005B7760"/>
    <w:rsid w:val="005B7AF4"/>
    <w:rsid w:val="005B7EB4"/>
    <w:rsid w:val="005C1C14"/>
    <w:rsid w:val="005C4A66"/>
    <w:rsid w:val="005C4C0C"/>
    <w:rsid w:val="005C6444"/>
    <w:rsid w:val="005C71F4"/>
    <w:rsid w:val="005C73BC"/>
    <w:rsid w:val="005D0BE6"/>
    <w:rsid w:val="005D1BA7"/>
    <w:rsid w:val="005D242D"/>
    <w:rsid w:val="005D2D00"/>
    <w:rsid w:val="005D43FC"/>
    <w:rsid w:val="005D4EA6"/>
    <w:rsid w:val="005D57D8"/>
    <w:rsid w:val="005D6922"/>
    <w:rsid w:val="005D6A2A"/>
    <w:rsid w:val="005D6F62"/>
    <w:rsid w:val="005D7BFB"/>
    <w:rsid w:val="005E03E2"/>
    <w:rsid w:val="005E12BA"/>
    <w:rsid w:val="005E1BB9"/>
    <w:rsid w:val="005E1E66"/>
    <w:rsid w:val="005E1FC7"/>
    <w:rsid w:val="005E210F"/>
    <w:rsid w:val="005E2A83"/>
    <w:rsid w:val="005E3791"/>
    <w:rsid w:val="005E50E7"/>
    <w:rsid w:val="005E6B25"/>
    <w:rsid w:val="005E71A6"/>
    <w:rsid w:val="005E7391"/>
    <w:rsid w:val="005F0208"/>
    <w:rsid w:val="005F07F8"/>
    <w:rsid w:val="005F0EA0"/>
    <w:rsid w:val="005F1145"/>
    <w:rsid w:val="005F1BD2"/>
    <w:rsid w:val="005F26D6"/>
    <w:rsid w:val="005F2703"/>
    <w:rsid w:val="005F27F9"/>
    <w:rsid w:val="005F2A8F"/>
    <w:rsid w:val="005F316A"/>
    <w:rsid w:val="005F3439"/>
    <w:rsid w:val="005F49A5"/>
    <w:rsid w:val="005F627A"/>
    <w:rsid w:val="005F63C9"/>
    <w:rsid w:val="005F6627"/>
    <w:rsid w:val="005F6A26"/>
    <w:rsid w:val="005F6A5F"/>
    <w:rsid w:val="005F7550"/>
    <w:rsid w:val="0060118D"/>
    <w:rsid w:val="00601AB3"/>
    <w:rsid w:val="00603EC9"/>
    <w:rsid w:val="006041B3"/>
    <w:rsid w:val="006046F7"/>
    <w:rsid w:val="006051DD"/>
    <w:rsid w:val="006075E9"/>
    <w:rsid w:val="00607912"/>
    <w:rsid w:val="006106F0"/>
    <w:rsid w:val="00610838"/>
    <w:rsid w:val="00610C07"/>
    <w:rsid w:val="00611D87"/>
    <w:rsid w:val="00612343"/>
    <w:rsid w:val="00612B05"/>
    <w:rsid w:val="006147D1"/>
    <w:rsid w:val="006151F2"/>
    <w:rsid w:val="00615651"/>
    <w:rsid w:val="0061573F"/>
    <w:rsid w:val="00615D7D"/>
    <w:rsid w:val="0061710E"/>
    <w:rsid w:val="00617672"/>
    <w:rsid w:val="0061769C"/>
    <w:rsid w:val="006177BF"/>
    <w:rsid w:val="00617F66"/>
    <w:rsid w:val="00620448"/>
    <w:rsid w:val="006204B8"/>
    <w:rsid w:val="0062123F"/>
    <w:rsid w:val="00621468"/>
    <w:rsid w:val="00621A30"/>
    <w:rsid w:val="00622841"/>
    <w:rsid w:val="00622FA9"/>
    <w:rsid w:val="00623398"/>
    <w:rsid w:val="00623FE4"/>
    <w:rsid w:val="00624092"/>
    <w:rsid w:val="00624696"/>
    <w:rsid w:val="006254F6"/>
    <w:rsid w:val="00625716"/>
    <w:rsid w:val="006265CA"/>
    <w:rsid w:val="006268B1"/>
    <w:rsid w:val="00626D5D"/>
    <w:rsid w:val="00626E71"/>
    <w:rsid w:val="00626F35"/>
    <w:rsid w:val="00627017"/>
    <w:rsid w:val="0062717D"/>
    <w:rsid w:val="00627236"/>
    <w:rsid w:val="00627338"/>
    <w:rsid w:val="00627684"/>
    <w:rsid w:val="00627E1A"/>
    <w:rsid w:val="00627E94"/>
    <w:rsid w:val="00627E9D"/>
    <w:rsid w:val="0063003C"/>
    <w:rsid w:val="006305F6"/>
    <w:rsid w:val="00631CD7"/>
    <w:rsid w:val="006337C6"/>
    <w:rsid w:val="006340EA"/>
    <w:rsid w:val="006350B3"/>
    <w:rsid w:val="006355A4"/>
    <w:rsid w:val="006356E0"/>
    <w:rsid w:val="0063679E"/>
    <w:rsid w:val="006377E6"/>
    <w:rsid w:val="00637DD3"/>
    <w:rsid w:val="00641202"/>
    <w:rsid w:val="00641D6D"/>
    <w:rsid w:val="00642368"/>
    <w:rsid w:val="00642631"/>
    <w:rsid w:val="00644232"/>
    <w:rsid w:val="00645570"/>
    <w:rsid w:val="006462F5"/>
    <w:rsid w:val="006465FE"/>
    <w:rsid w:val="006466EB"/>
    <w:rsid w:val="00646CF2"/>
    <w:rsid w:val="006502A4"/>
    <w:rsid w:val="006502A9"/>
    <w:rsid w:val="00650875"/>
    <w:rsid w:val="00651467"/>
    <w:rsid w:val="00651516"/>
    <w:rsid w:val="00651F9C"/>
    <w:rsid w:val="00651FE6"/>
    <w:rsid w:val="00653519"/>
    <w:rsid w:val="0065468A"/>
    <w:rsid w:val="006609CF"/>
    <w:rsid w:val="00660CE9"/>
    <w:rsid w:val="00660E61"/>
    <w:rsid w:val="006611BC"/>
    <w:rsid w:val="006613A6"/>
    <w:rsid w:val="0066158C"/>
    <w:rsid w:val="00662004"/>
    <w:rsid w:val="00662F75"/>
    <w:rsid w:val="0066359F"/>
    <w:rsid w:val="00663861"/>
    <w:rsid w:val="00663EAF"/>
    <w:rsid w:val="00664956"/>
    <w:rsid w:val="00664FDA"/>
    <w:rsid w:val="006650D2"/>
    <w:rsid w:val="00665F5E"/>
    <w:rsid w:val="00666239"/>
    <w:rsid w:val="00666506"/>
    <w:rsid w:val="00666772"/>
    <w:rsid w:val="00667239"/>
    <w:rsid w:val="006674A2"/>
    <w:rsid w:val="00667AA3"/>
    <w:rsid w:val="00667FC7"/>
    <w:rsid w:val="00670BFF"/>
    <w:rsid w:val="00671D16"/>
    <w:rsid w:val="00671EA1"/>
    <w:rsid w:val="0067219D"/>
    <w:rsid w:val="0067236C"/>
    <w:rsid w:val="0067290A"/>
    <w:rsid w:val="00672AE5"/>
    <w:rsid w:val="00672C12"/>
    <w:rsid w:val="00673AF3"/>
    <w:rsid w:val="00673F78"/>
    <w:rsid w:val="00674039"/>
    <w:rsid w:val="0067422D"/>
    <w:rsid w:val="006749FF"/>
    <w:rsid w:val="00675ACF"/>
    <w:rsid w:val="00675FA2"/>
    <w:rsid w:val="00677002"/>
    <w:rsid w:val="00677964"/>
    <w:rsid w:val="00677E2F"/>
    <w:rsid w:val="00680367"/>
    <w:rsid w:val="006811BB"/>
    <w:rsid w:val="006814E0"/>
    <w:rsid w:val="00681676"/>
    <w:rsid w:val="006816AE"/>
    <w:rsid w:val="006818F5"/>
    <w:rsid w:val="00681E36"/>
    <w:rsid w:val="00682810"/>
    <w:rsid w:val="00685142"/>
    <w:rsid w:val="006855AB"/>
    <w:rsid w:val="00685898"/>
    <w:rsid w:val="0068686F"/>
    <w:rsid w:val="006874EF"/>
    <w:rsid w:val="006905A1"/>
    <w:rsid w:val="00690729"/>
    <w:rsid w:val="00690A5B"/>
    <w:rsid w:val="0069169D"/>
    <w:rsid w:val="00691752"/>
    <w:rsid w:val="00691DC8"/>
    <w:rsid w:val="00692F7C"/>
    <w:rsid w:val="00693E09"/>
    <w:rsid w:val="0069432F"/>
    <w:rsid w:val="00694C30"/>
    <w:rsid w:val="00695C5F"/>
    <w:rsid w:val="0069610A"/>
    <w:rsid w:val="00696403"/>
    <w:rsid w:val="006971DF"/>
    <w:rsid w:val="00697537"/>
    <w:rsid w:val="0069775F"/>
    <w:rsid w:val="00697A24"/>
    <w:rsid w:val="00697EAC"/>
    <w:rsid w:val="006A11AF"/>
    <w:rsid w:val="006A141F"/>
    <w:rsid w:val="006A1873"/>
    <w:rsid w:val="006A1E49"/>
    <w:rsid w:val="006A2070"/>
    <w:rsid w:val="006A2A67"/>
    <w:rsid w:val="006A3C80"/>
    <w:rsid w:val="006A4E9F"/>
    <w:rsid w:val="006A4F91"/>
    <w:rsid w:val="006A5605"/>
    <w:rsid w:val="006A5E2D"/>
    <w:rsid w:val="006A64C0"/>
    <w:rsid w:val="006A66D3"/>
    <w:rsid w:val="006A6C4F"/>
    <w:rsid w:val="006A6F99"/>
    <w:rsid w:val="006A7063"/>
    <w:rsid w:val="006B028A"/>
    <w:rsid w:val="006B13D9"/>
    <w:rsid w:val="006B14BD"/>
    <w:rsid w:val="006B15F5"/>
    <w:rsid w:val="006B251A"/>
    <w:rsid w:val="006B29A7"/>
    <w:rsid w:val="006B486F"/>
    <w:rsid w:val="006B5AC1"/>
    <w:rsid w:val="006B5AD2"/>
    <w:rsid w:val="006B5BA8"/>
    <w:rsid w:val="006B62E9"/>
    <w:rsid w:val="006B6A30"/>
    <w:rsid w:val="006B6F2C"/>
    <w:rsid w:val="006B70A5"/>
    <w:rsid w:val="006B7490"/>
    <w:rsid w:val="006C1519"/>
    <w:rsid w:val="006C1698"/>
    <w:rsid w:val="006C17B0"/>
    <w:rsid w:val="006C1A50"/>
    <w:rsid w:val="006C1E5D"/>
    <w:rsid w:val="006C2109"/>
    <w:rsid w:val="006C3083"/>
    <w:rsid w:val="006C350E"/>
    <w:rsid w:val="006C3CDD"/>
    <w:rsid w:val="006C4385"/>
    <w:rsid w:val="006C5595"/>
    <w:rsid w:val="006C5C34"/>
    <w:rsid w:val="006C5D23"/>
    <w:rsid w:val="006C61A8"/>
    <w:rsid w:val="006C6B0F"/>
    <w:rsid w:val="006C7926"/>
    <w:rsid w:val="006D1B8E"/>
    <w:rsid w:val="006D45BD"/>
    <w:rsid w:val="006D4604"/>
    <w:rsid w:val="006D4FC3"/>
    <w:rsid w:val="006D5A3E"/>
    <w:rsid w:val="006D5C51"/>
    <w:rsid w:val="006D66F6"/>
    <w:rsid w:val="006D6FEE"/>
    <w:rsid w:val="006D7A8C"/>
    <w:rsid w:val="006E1E8C"/>
    <w:rsid w:val="006E2F9D"/>
    <w:rsid w:val="006E3A66"/>
    <w:rsid w:val="006E45C8"/>
    <w:rsid w:val="006E5C5C"/>
    <w:rsid w:val="006E6002"/>
    <w:rsid w:val="006E6C4F"/>
    <w:rsid w:val="006F00A4"/>
    <w:rsid w:val="006F0ECC"/>
    <w:rsid w:val="006F13E1"/>
    <w:rsid w:val="006F1A1C"/>
    <w:rsid w:val="006F3BC8"/>
    <w:rsid w:val="006F4023"/>
    <w:rsid w:val="006F461D"/>
    <w:rsid w:val="006F70C4"/>
    <w:rsid w:val="006F75DD"/>
    <w:rsid w:val="0070046A"/>
    <w:rsid w:val="0070084E"/>
    <w:rsid w:val="00700C13"/>
    <w:rsid w:val="00701266"/>
    <w:rsid w:val="007013D9"/>
    <w:rsid w:val="00701433"/>
    <w:rsid w:val="0070151E"/>
    <w:rsid w:val="00702411"/>
    <w:rsid w:val="00702B39"/>
    <w:rsid w:val="0070303D"/>
    <w:rsid w:val="00703367"/>
    <w:rsid w:val="00703AD8"/>
    <w:rsid w:val="007040D3"/>
    <w:rsid w:val="00704C83"/>
    <w:rsid w:val="0070548A"/>
    <w:rsid w:val="0070613D"/>
    <w:rsid w:val="00706203"/>
    <w:rsid w:val="0070675B"/>
    <w:rsid w:val="00706BC0"/>
    <w:rsid w:val="00710147"/>
    <w:rsid w:val="00710D3F"/>
    <w:rsid w:val="00711A23"/>
    <w:rsid w:val="00713CFB"/>
    <w:rsid w:val="00713D6A"/>
    <w:rsid w:val="007159C4"/>
    <w:rsid w:val="00715E83"/>
    <w:rsid w:val="007174DA"/>
    <w:rsid w:val="00720726"/>
    <w:rsid w:val="00720D07"/>
    <w:rsid w:val="00720E51"/>
    <w:rsid w:val="0072236F"/>
    <w:rsid w:val="007225DF"/>
    <w:rsid w:val="00722EE6"/>
    <w:rsid w:val="007231A3"/>
    <w:rsid w:val="00723946"/>
    <w:rsid w:val="00724281"/>
    <w:rsid w:val="007244C5"/>
    <w:rsid w:val="00724D6B"/>
    <w:rsid w:val="007253A9"/>
    <w:rsid w:val="00725E45"/>
    <w:rsid w:val="00726731"/>
    <w:rsid w:val="007315D1"/>
    <w:rsid w:val="00731A2E"/>
    <w:rsid w:val="00732B6E"/>
    <w:rsid w:val="007345F2"/>
    <w:rsid w:val="007348B5"/>
    <w:rsid w:val="00734B7A"/>
    <w:rsid w:val="00736C2A"/>
    <w:rsid w:val="00736EDE"/>
    <w:rsid w:val="00737161"/>
    <w:rsid w:val="00737760"/>
    <w:rsid w:val="00740490"/>
    <w:rsid w:val="0074050B"/>
    <w:rsid w:val="00740CD3"/>
    <w:rsid w:val="0074104E"/>
    <w:rsid w:val="00741605"/>
    <w:rsid w:val="007423A6"/>
    <w:rsid w:val="007427C7"/>
    <w:rsid w:val="007428A4"/>
    <w:rsid w:val="00744712"/>
    <w:rsid w:val="00744808"/>
    <w:rsid w:val="00744A07"/>
    <w:rsid w:val="007451A4"/>
    <w:rsid w:val="007456A6"/>
    <w:rsid w:val="00745E69"/>
    <w:rsid w:val="007462A6"/>
    <w:rsid w:val="007467E4"/>
    <w:rsid w:val="0075000A"/>
    <w:rsid w:val="00750966"/>
    <w:rsid w:val="00750DE1"/>
    <w:rsid w:val="00750EE3"/>
    <w:rsid w:val="00751051"/>
    <w:rsid w:val="00751227"/>
    <w:rsid w:val="007517E8"/>
    <w:rsid w:val="00751840"/>
    <w:rsid w:val="00751D49"/>
    <w:rsid w:val="007521CB"/>
    <w:rsid w:val="0075277C"/>
    <w:rsid w:val="00753366"/>
    <w:rsid w:val="00753DDF"/>
    <w:rsid w:val="0075473A"/>
    <w:rsid w:val="00754856"/>
    <w:rsid w:val="00755577"/>
    <w:rsid w:val="007557F4"/>
    <w:rsid w:val="00755D31"/>
    <w:rsid w:val="00755FAA"/>
    <w:rsid w:val="00756565"/>
    <w:rsid w:val="00760131"/>
    <w:rsid w:val="00760215"/>
    <w:rsid w:val="00760A95"/>
    <w:rsid w:val="00761314"/>
    <w:rsid w:val="00761336"/>
    <w:rsid w:val="007614AC"/>
    <w:rsid w:val="00762D55"/>
    <w:rsid w:val="007644BF"/>
    <w:rsid w:val="00764612"/>
    <w:rsid w:val="00764C4F"/>
    <w:rsid w:val="0076500A"/>
    <w:rsid w:val="00765A31"/>
    <w:rsid w:val="0076685B"/>
    <w:rsid w:val="00766B4D"/>
    <w:rsid w:val="00766BE7"/>
    <w:rsid w:val="00770560"/>
    <w:rsid w:val="00770567"/>
    <w:rsid w:val="00770F98"/>
    <w:rsid w:val="00771048"/>
    <w:rsid w:val="00771EEC"/>
    <w:rsid w:val="00771EF6"/>
    <w:rsid w:val="007738B9"/>
    <w:rsid w:val="00773B2F"/>
    <w:rsid w:val="00773D6E"/>
    <w:rsid w:val="00774849"/>
    <w:rsid w:val="00774970"/>
    <w:rsid w:val="007749EE"/>
    <w:rsid w:val="007757E1"/>
    <w:rsid w:val="007763DB"/>
    <w:rsid w:val="00776EBF"/>
    <w:rsid w:val="007773D4"/>
    <w:rsid w:val="007803A7"/>
    <w:rsid w:val="0078054D"/>
    <w:rsid w:val="00780854"/>
    <w:rsid w:val="00781D33"/>
    <w:rsid w:val="00781DB9"/>
    <w:rsid w:val="00781E8D"/>
    <w:rsid w:val="0078249C"/>
    <w:rsid w:val="00782E80"/>
    <w:rsid w:val="007837AA"/>
    <w:rsid w:val="00783C85"/>
    <w:rsid w:val="00784B38"/>
    <w:rsid w:val="00784D8C"/>
    <w:rsid w:val="00785909"/>
    <w:rsid w:val="00785D36"/>
    <w:rsid w:val="00786696"/>
    <w:rsid w:val="00787161"/>
    <w:rsid w:val="0078795F"/>
    <w:rsid w:val="00790673"/>
    <w:rsid w:val="0079099C"/>
    <w:rsid w:val="00790B1A"/>
    <w:rsid w:val="0079105D"/>
    <w:rsid w:val="0079145E"/>
    <w:rsid w:val="007926A3"/>
    <w:rsid w:val="00792F24"/>
    <w:rsid w:val="0079344D"/>
    <w:rsid w:val="007939FB"/>
    <w:rsid w:val="00793D6C"/>
    <w:rsid w:val="007941B8"/>
    <w:rsid w:val="007946C3"/>
    <w:rsid w:val="0079717E"/>
    <w:rsid w:val="007A0947"/>
    <w:rsid w:val="007A0FD6"/>
    <w:rsid w:val="007A231D"/>
    <w:rsid w:val="007A23B3"/>
    <w:rsid w:val="007A263D"/>
    <w:rsid w:val="007A3670"/>
    <w:rsid w:val="007A38BE"/>
    <w:rsid w:val="007A3981"/>
    <w:rsid w:val="007A3B50"/>
    <w:rsid w:val="007A44FA"/>
    <w:rsid w:val="007A4A67"/>
    <w:rsid w:val="007A66FD"/>
    <w:rsid w:val="007A6781"/>
    <w:rsid w:val="007A6921"/>
    <w:rsid w:val="007A6BD1"/>
    <w:rsid w:val="007B0209"/>
    <w:rsid w:val="007B0CEC"/>
    <w:rsid w:val="007B0E4D"/>
    <w:rsid w:val="007B1232"/>
    <w:rsid w:val="007B1616"/>
    <w:rsid w:val="007B168A"/>
    <w:rsid w:val="007B170D"/>
    <w:rsid w:val="007B21A1"/>
    <w:rsid w:val="007B2426"/>
    <w:rsid w:val="007B2BF9"/>
    <w:rsid w:val="007B2C9B"/>
    <w:rsid w:val="007B3463"/>
    <w:rsid w:val="007B393B"/>
    <w:rsid w:val="007B4318"/>
    <w:rsid w:val="007B4670"/>
    <w:rsid w:val="007B48BD"/>
    <w:rsid w:val="007B4B65"/>
    <w:rsid w:val="007B5045"/>
    <w:rsid w:val="007B5987"/>
    <w:rsid w:val="007B68A2"/>
    <w:rsid w:val="007B6F4E"/>
    <w:rsid w:val="007C1020"/>
    <w:rsid w:val="007C2229"/>
    <w:rsid w:val="007C2F60"/>
    <w:rsid w:val="007C31DD"/>
    <w:rsid w:val="007C343C"/>
    <w:rsid w:val="007C44E7"/>
    <w:rsid w:val="007C4A6D"/>
    <w:rsid w:val="007C51AC"/>
    <w:rsid w:val="007C612D"/>
    <w:rsid w:val="007C6F12"/>
    <w:rsid w:val="007C73D1"/>
    <w:rsid w:val="007C7BFA"/>
    <w:rsid w:val="007D0723"/>
    <w:rsid w:val="007D0F90"/>
    <w:rsid w:val="007D1BA5"/>
    <w:rsid w:val="007D1BF9"/>
    <w:rsid w:val="007D30DF"/>
    <w:rsid w:val="007D3298"/>
    <w:rsid w:val="007D354F"/>
    <w:rsid w:val="007D3C99"/>
    <w:rsid w:val="007D4B94"/>
    <w:rsid w:val="007D4CCC"/>
    <w:rsid w:val="007D52C9"/>
    <w:rsid w:val="007D6B24"/>
    <w:rsid w:val="007E033D"/>
    <w:rsid w:val="007E20BC"/>
    <w:rsid w:val="007E3554"/>
    <w:rsid w:val="007E42B4"/>
    <w:rsid w:val="007E528B"/>
    <w:rsid w:val="007E58B2"/>
    <w:rsid w:val="007E5FD0"/>
    <w:rsid w:val="007E6927"/>
    <w:rsid w:val="007E6FF9"/>
    <w:rsid w:val="007E730D"/>
    <w:rsid w:val="007F2064"/>
    <w:rsid w:val="007F31FE"/>
    <w:rsid w:val="007F383C"/>
    <w:rsid w:val="007F4799"/>
    <w:rsid w:val="007F47F8"/>
    <w:rsid w:val="007F4C4F"/>
    <w:rsid w:val="007F5900"/>
    <w:rsid w:val="007F5D1E"/>
    <w:rsid w:val="007F619D"/>
    <w:rsid w:val="007F6CAE"/>
    <w:rsid w:val="0080247A"/>
    <w:rsid w:val="00802E2E"/>
    <w:rsid w:val="0080380E"/>
    <w:rsid w:val="0080424E"/>
    <w:rsid w:val="00804401"/>
    <w:rsid w:val="00804F50"/>
    <w:rsid w:val="0080504C"/>
    <w:rsid w:val="00805300"/>
    <w:rsid w:val="00805366"/>
    <w:rsid w:val="0080560D"/>
    <w:rsid w:val="00806650"/>
    <w:rsid w:val="008075F8"/>
    <w:rsid w:val="00807C9E"/>
    <w:rsid w:val="00811CD4"/>
    <w:rsid w:val="00812EDC"/>
    <w:rsid w:val="008130D1"/>
    <w:rsid w:val="00813DD6"/>
    <w:rsid w:val="008153C4"/>
    <w:rsid w:val="00816C0C"/>
    <w:rsid w:val="00816C8E"/>
    <w:rsid w:val="00816CB0"/>
    <w:rsid w:val="00816CF9"/>
    <w:rsid w:val="00817737"/>
    <w:rsid w:val="00817A12"/>
    <w:rsid w:val="00820267"/>
    <w:rsid w:val="0082035C"/>
    <w:rsid w:val="0082038B"/>
    <w:rsid w:val="00820456"/>
    <w:rsid w:val="008217CC"/>
    <w:rsid w:val="008217D4"/>
    <w:rsid w:val="008218C5"/>
    <w:rsid w:val="00821CD0"/>
    <w:rsid w:val="008225BB"/>
    <w:rsid w:val="00822B6E"/>
    <w:rsid w:val="00825090"/>
    <w:rsid w:val="0082575E"/>
    <w:rsid w:val="00825C33"/>
    <w:rsid w:val="00826811"/>
    <w:rsid w:val="008269B6"/>
    <w:rsid w:val="0082732E"/>
    <w:rsid w:val="00830B1F"/>
    <w:rsid w:val="00830C35"/>
    <w:rsid w:val="00830DCF"/>
    <w:rsid w:val="008315AF"/>
    <w:rsid w:val="0083181F"/>
    <w:rsid w:val="0083209A"/>
    <w:rsid w:val="00832C56"/>
    <w:rsid w:val="00832F29"/>
    <w:rsid w:val="0083363B"/>
    <w:rsid w:val="008337D4"/>
    <w:rsid w:val="00834D28"/>
    <w:rsid w:val="00835A1A"/>
    <w:rsid w:val="00835C87"/>
    <w:rsid w:val="00836900"/>
    <w:rsid w:val="008379B6"/>
    <w:rsid w:val="00840BCF"/>
    <w:rsid w:val="008417B8"/>
    <w:rsid w:val="0084194C"/>
    <w:rsid w:val="00842901"/>
    <w:rsid w:val="00842922"/>
    <w:rsid w:val="00842CBC"/>
    <w:rsid w:val="00843317"/>
    <w:rsid w:val="008441D0"/>
    <w:rsid w:val="008459B9"/>
    <w:rsid w:val="00845CC4"/>
    <w:rsid w:val="00846954"/>
    <w:rsid w:val="00846A2B"/>
    <w:rsid w:val="0084729A"/>
    <w:rsid w:val="008474A3"/>
    <w:rsid w:val="00847A61"/>
    <w:rsid w:val="00850143"/>
    <w:rsid w:val="00850AEE"/>
    <w:rsid w:val="00852617"/>
    <w:rsid w:val="00853091"/>
    <w:rsid w:val="00853386"/>
    <w:rsid w:val="00853555"/>
    <w:rsid w:val="00855DE1"/>
    <w:rsid w:val="00857221"/>
    <w:rsid w:val="00857321"/>
    <w:rsid w:val="0085796E"/>
    <w:rsid w:val="008604C5"/>
    <w:rsid w:val="0086160A"/>
    <w:rsid w:val="008622E0"/>
    <w:rsid w:val="00862B3B"/>
    <w:rsid w:val="008632DE"/>
    <w:rsid w:val="00863421"/>
    <w:rsid w:val="00863468"/>
    <w:rsid w:val="008634EB"/>
    <w:rsid w:val="0086360D"/>
    <w:rsid w:val="008645F9"/>
    <w:rsid w:val="00866207"/>
    <w:rsid w:val="008672A6"/>
    <w:rsid w:val="00870AC7"/>
    <w:rsid w:val="00870EF3"/>
    <w:rsid w:val="00871EC6"/>
    <w:rsid w:val="00871F40"/>
    <w:rsid w:val="00872507"/>
    <w:rsid w:val="00872DD0"/>
    <w:rsid w:val="00873117"/>
    <w:rsid w:val="0087394C"/>
    <w:rsid w:val="00875BD0"/>
    <w:rsid w:val="00875C12"/>
    <w:rsid w:val="00875EEF"/>
    <w:rsid w:val="008768F2"/>
    <w:rsid w:val="00877191"/>
    <w:rsid w:val="008774FD"/>
    <w:rsid w:val="00877BFE"/>
    <w:rsid w:val="0088027C"/>
    <w:rsid w:val="008807F8"/>
    <w:rsid w:val="00880974"/>
    <w:rsid w:val="0088179D"/>
    <w:rsid w:val="00881E64"/>
    <w:rsid w:val="00882D10"/>
    <w:rsid w:val="00883258"/>
    <w:rsid w:val="0088345F"/>
    <w:rsid w:val="00883C68"/>
    <w:rsid w:val="00885157"/>
    <w:rsid w:val="00885894"/>
    <w:rsid w:val="00886E49"/>
    <w:rsid w:val="008873A2"/>
    <w:rsid w:val="008877A2"/>
    <w:rsid w:val="00890E49"/>
    <w:rsid w:val="0089167F"/>
    <w:rsid w:val="00891729"/>
    <w:rsid w:val="0089188B"/>
    <w:rsid w:val="00891DE4"/>
    <w:rsid w:val="008921D0"/>
    <w:rsid w:val="00893490"/>
    <w:rsid w:val="00893DCC"/>
    <w:rsid w:val="00895A7E"/>
    <w:rsid w:val="00897318"/>
    <w:rsid w:val="008A0315"/>
    <w:rsid w:val="008A0B9F"/>
    <w:rsid w:val="008A1297"/>
    <w:rsid w:val="008A24AB"/>
    <w:rsid w:val="008A28C6"/>
    <w:rsid w:val="008A35EA"/>
    <w:rsid w:val="008A3E77"/>
    <w:rsid w:val="008A4276"/>
    <w:rsid w:val="008A43E4"/>
    <w:rsid w:val="008A5F88"/>
    <w:rsid w:val="008A61BE"/>
    <w:rsid w:val="008A6947"/>
    <w:rsid w:val="008A71D9"/>
    <w:rsid w:val="008A7F58"/>
    <w:rsid w:val="008B165C"/>
    <w:rsid w:val="008B17BB"/>
    <w:rsid w:val="008B1B91"/>
    <w:rsid w:val="008B1F9A"/>
    <w:rsid w:val="008B1FDC"/>
    <w:rsid w:val="008B42F8"/>
    <w:rsid w:val="008B5776"/>
    <w:rsid w:val="008B6A18"/>
    <w:rsid w:val="008B741D"/>
    <w:rsid w:val="008B7669"/>
    <w:rsid w:val="008B7C02"/>
    <w:rsid w:val="008C21E7"/>
    <w:rsid w:val="008C2BBB"/>
    <w:rsid w:val="008C35C0"/>
    <w:rsid w:val="008C461E"/>
    <w:rsid w:val="008C582C"/>
    <w:rsid w:val="008C5957"/>
    <w:rsid w:val="008C5B55"/>
    <w:rsid w:val="008C650B"/>
    <w:rsid w:val="008C6C54"/>
    <w:rsid w:val="008C6DC3"/>
    <w:rsid w:val="008C6EF3"/>
    <w:rsid w:val="008C739F"/>
    <w:rsid w:val="008C7584"/>
    <w:rsid w:val="008C7C45"/>
    <w:rsid w:val="008D02DB"/>
    <w:rsid w:val="008D25C5"/>
    <w:rsid w:val="008D2A00"/>
    <w:rsid w:val="008D2B25"/>
    <w:rsid w:val="008D32A4"/>
    <w:rsid w:val="008D3757"/>
    <w:rsid w:val="008D38C3"/>
    <w:rsid w:val="008D3B21"/>
    <w:rsid w:val="008D491F"/>
    <w:rsid w:val="008D54B7"/>
    <w:rsid w:val="008D5835"/>
    <w:rsid w:val="008D60BE"/>
    <w:rsid w:val="008D68DF"/>
    <w:rsid w:val="008D6C1F"/>
    <w:rsid w:val="008D7722"/>
    <w:rsid w:val="008D7B43"/>
    <w:rsid w:val="008D7FD9"/>
    <w:rsid w:val="008E283D"/>
    <w:rsid w:val="008E325C"/>
    <w:rsid w:val="008E336A"/>
    <w:rsid w:val="008E440F"/>
    <w:rsid w:val="008E4946"/>
    <w:rsid w:val="008E4C6C"/>
    <w:rsid w:val="008E4D2B"/>
    <w:rsid w:val="008E4EC3"/>
    <w:rsid w:val="008E5601"/>
    <w:rsid w:val="008E56E8"/>
    <w:rsid w:val="008E5D1E"/>
    <w:rsid w:val="008E5D48"/>
    <w:rsid w:val="008E664C"/>
    <w:rsid w:val="008F0A54"/>
    <w:rsid w:val="008F1AB5"/>
    <w:rsid w:val="008F1AFD"/>
    <w:rsid w:val="008F219B"/>
    <w:rsid w:val="008F2326"/>
    <w:rsid w:val="008F2624"/>
    <w:rsid w:val="008F28D1"/>
    <w:rsid w:val="008F3679"/>
    <w:rsid w:val="008F3BCC"/>
    <w:rsid w:val="008F3E6C"/>
    <w:rsid w:val="008F5248"/>
    <w:rsid w:val="008F5914"/>
    <w:rsid w:val="008F661F"/>
    <w:rsid w:val="00900A88"/>
    <w:rsid w:val="00900C8B"/>
    <w:rsid w:val="00900D9B"/>
    <w:rsid w:val="009023C8"/>
    <w:rsid w:val="0090257E"/>
    <w:rsid w:val="00903203"/>
    <w:rsid w:val="009033C8"/>
    <w:rsid w:val="00904B54"/>
    <w:rsid w:val="009069A2"/>
    <w:rsid w:val="00906E02"/>
    <w:rsid w:val="00906ED2"/>
    <w:rsid w:val="00907D7C"/>
    <w:rsid w:val="00907F68"/>
    <w:rsid w:val="009104DD"/>
    <w:rsid w:val="00910DC7"/>
    <w:rsid w:val="0091147E"/>
    <w:rsid w:val="00912376"/>
    <w:rsid w:val="0091395B"/>
    <w:rsid w:val="009143F5"/>
    <w:rsid w:val="009147FB"/>
    <w:rsid w:val="00914E99"/>
    <w:rsid w:val="009163E0"/>
    <w:rsid w:val="00917C78"/>
    <w:rsid w:val="0092156E"/>
    <w:rsid w:val="00921DF5"/>
    <w:rsid w:val="00921E53"/>
    <w:rsid w:val="009228A1"/>
    <w:rsid w:val="00922DA6"/>
    <w:rsid w:val="0092303C"/>
    <w:rsid w:val="009235CB"/>
    <w:rsid w:val="0092360F"/>
    <w:rsid w:val="00923D9F"/>
    <w:rsid w:val="00925D44"/>
    <w:rsid w:val="0092627A"/>
    <w:rsid w:val="009262D9"/>
    <w:rsid w:val="00927033"/>
    <w:rsid w:val="00927631"/>
    <w:rsid w:val="00927CD4"/>
    <w:rsid w:val="00930434"/>
    <w:rsid w:val="00931043"/>
    <w:rsid w:val="00931261"/>
    <w:rsid w:val="00931BB9"/>
    <w:rsid w:val="00931BBE"/>
    <w:rsid w:val="0093258F"/>
    <w:rsid w:val="00932686"/>
    <w:rsid w:val="009330B6"/>
    <w:rsid w:val="009337D3"/>
    <w:rsid w:val="00933C4B"/>
    <w:rsid w:val="0093493E"/>
    <w:rsid w:val="009362C2"/>
    <w:rsid w:val="0093740E"/>
    <w:rsid w:val="00937D38"/>
    <w:rsid w:val="00937F52"/>
    <w:rsid w:val="00940515"/>
    <w:rsid w:val="00940DF0"/>
    <w:rsid w:val="009412A5"/>
    <w:rsid w:val="00941BE2"/>
    <w:rsid w:val="00942847"/>
    <w:rsid w:val="00942EBC"/>
    <w:rsid w:val="009441A4"/>
    <w:rsid w:val="00944252"/>
    <w:rsid w:val="0094668D"/>
    <w:rsid w:val="009472DC"/>
    <w:rsid w:val="00950EB0"/>
    <w:rsid w:val="009510C8"/>
    <w:rsid w:val="00951121"/>
    <w:rsid w:val="00951214"/>
    <w:rsid w:val="00951843"/>
    <w:rsid w:val="009519B5"/>
    <w:rsid w:val="00951A50"/>
    <w:rsid w:val="0095262D"/>
    <w:rsid w:val="00953716"/>
    <w:rsid w:val="00953AC3"/>
    <w:rsid w:val="00954904"/>
    <w:rsid w:val="00956317"/>
    <w:rsid w:val="009569A4"/>
    <w:rsid w:val="009577AE"/>
    <w:rsid w:val="009607FB"/>
    <w:rsid w:val="00960A3C"/>
    <w:rsid w:val="00960EFA"/>
    <w:rsid w:val="00962006"/>
    <w:rsid w:val="009623F5"/>
    <w:rsid w:val="009640D6"/>
    <w:rsid w:val="009663F6"/>
    <w:rsid w:val="00966B31"/>
    <w:rsid w:val="009701F1"/>
    <w:rsid w:val="0097031C"/>
    <w:rsid w:val="00970BF8"/>
    <w:rsid w:val="00970C8D"/>
    <w:rsid w:val="00970D71"/>
    <w:rsid w:val="00972357"/>
    <w:rsid w:val="0097328E"/>
    <w:rsid w:val="00973330"/>
    <w:rsid w:val="00973BD4"/>
    <w:rsid w:val="00974AD1"/>
    <w:rsid w:val="00974C04"/>
    <w:rsid w:val="00976383"/>
    <w:rsid w:val="0097639D"/>
    <w:rsid w:val="00977750"/>
    <w:rsid w:val="00977A53"/>
    <w:rsid w:val="00980961"/>
    <w:rsid w:val="00981E04"/>
    <w:rsid w:val="00981E4B"/>
    <w:rsid w:val="0098349E"/>
    <w:rsid w:val="0098426C"/>
    <w:rsid w:val="00984C67"/>
    <w:rsid w:val="0098570D"/>
    <w:rsid w:val="00986C60"/>
    <w:rsid w:val="00986F9A"/>
    <w:rsid w:val="00987132"/>
    <w:rsid w:val="00987317"/>
    <w:rsid w:val="00990B6A"/>
    <w:rsid w:val="00991A10"/>
    <w:rsid w:val="00991C27"/>
    <w:rsid w:val="009923DD"/>
    <w:rsid w:val="00992E75"/>
    <w:rsid w:val="009933E3"/>
    <w:rsid w:val="009935C8"/>
    <w:rsid w:val="0099419D"/>
    <w:rsid w:val="00996DD1"/>
    <w:rsid w:val="00997098"/>
    <w:rsid w:val="009A11A4"/>
    <w:rsid w:val="009A3505"/>
    <w:rsid w:val="009A4850"/>
    <w:rsid w:val="009A4E12"/>
    <w:rsid w:val="009A6162"/>
    <w:rsid w:val="009A6C05"/>
    <w:rsid w:val="009B08B7"/>
    <w:rsid w:val="009B0955"/>
    <w:rsid w:val="009B2CAC"/>
    <w:rsid w:val="009B2F9F"/>
    <w:rsid w:val="009B3600"/>
    <w:rsid w:val="009B38C9"/>
    <w:rsid w:val="009B4357"/>
    <w:rsid w:val="009B4E04"/>
    <w:rsid w:val="009B4E5C"/>
    <w:rsid w:val="009B5C1D"/>
    <w:rsid w:val="009B5E11"/>
    <w:rsid w:val="009B5FD0"/>
    <w:rsid w:val="009B680F"/>
    <w:rsid w:val="009B6AEC"/>
    <w:rsid w:val="009B728D"/>
    <w:rsid w:val="009B774A"/>
    <w:rsid w:val="009B7B54"/>
    <w:rsid w:val="009B7C71"/>
    <w:rsid w:val="009C067B"/>
    <w:rsid w:val="009C0E52"/>
    <w:rsid w:val="009C23C9"/>
    <w:rsid w:val="009C2A20"/>
    <w:rsid w:val="009C2FBB"/>
    <w:rsid w:val="009C4446"/>
    <w:rsid w:val="009C4BBD"/>
    <w:rsid w:val="009C6159"/>
    <w:rsid w:val="009C6D3E"/>
    <w:rsid w:val="009C7261"/>
    <w:rsid w:val="009D0174"/>
    <w:rsid w:val="009D0B74"/>
    <w:rsid w:val="009D171A"/>
    <w:rsid w:val="009D2C8A"/>
    <w:rsid w:val="009D369D"/>
    <w:rsid w:val="009D36B6"/>
    <w:rsid w:val="009D47A7"/>
    <w:rsid w:val="009D4DB4"/>
    <w:rsid w:val="009D603E"/>
    <w:rsid w:val="009D6686"/>
    <w:rsid w:val="009D6C1B"/>
    <w:rsid w:val="009E0A4F"/>
    <w:rsid w:val="009E0CEE"/>
    <w:rsid w:val="009E24CE"/>
    <w:rsid w:val="009E38E3"/>
    <w:rsid w:val="009E453D"/>
    <w:rsid w:val="009E4B00"/>
    <w:rsid w:val="009E4D53"/>
    <w:rsid w:val="009E5702"/>
    <w:rsid w:val="009E596F"/>
    <w:rsid w:val="009E78DF"/>
    <w:rsid w:val="009F014F"/>
    <w:rsid w:val="009F0342"/>
    <w:rsid w:val="009F0FCC"/>
    <w:rsid w:val="009F162F"/>
    <w:rsid w:val="009F1A8B"/>
    <w:rsid w:val="009F2C96"/>
    <w:rsid w:val="009F31A0"/>
    <w:rsid w:val="009F378B"/>
    <w:rsid w:val="009F3AFE"/>
    <w:rsid w:val="009F46E3"/>
    <w:rsid w:val="009F49E4"/>
    <w:rsid w:val="009F4B8C"/>
    <w:rsid w:val="009F5F87"/>
    <w:rsid w:val="009F6D64"/>
    <w:rsid w:val="009F7D9D"/>
    <w:rsid w:val="009F7F94"/>
    <w:rsid w:val="00A00104"/>
    <w:rsid w:val="00A020E9"/>
    <w:rsid w:val="00A02515"/>
    <w:rsid w:val="00A0279D"/>
    <w:rsid w:val="00A02CEA"/>
    <w:rsid w:val="00A02F81"/>
    <w:rsid w:val="00A030EA"/>
    <w:rsid w:val="00A03E82"/>
    <w:rsid w:val="00A05564"/>
    <w:rsid w:val="00A0557B"/>
    <w:rsid w:val="00A06252"/>
    <w:rsid w:val="00A069DC"/>
    <w:rsid w:val="00A06D03"/>
    <w:rsid w:val="00A07102"/>
    <w:rsid w:val="00A10AA7"/>
    <w:rsid w:val="00A117B1"/>
    <w:rsid w:val="00A11CC3"/>
    <w:rsid w:val="00A11CE2"/>
    <w:rsid w:val="00A12C2D"/>
    <w:rsid w:val="00A12E36"/>
    <w:rsid w:val="00A1357A"/>
    <w:rsid w:val="00A13D93"/>
    <w:rsid w:val="00A140A7"/>
    <w:rsid w:val="00A1490C"/>
    <w:rsid w:val="00A14CD6"/>
    <w:rsid w:val="00A14CEF"/>
    <w:rsid w:val="00A152D6"/>
    <w:rsid w:val="00A1532A"/>
    <w:rsid w:val="00A16B12"/>
    <w:rsid w:val="00A17067"/>
    <w:rsid w:val="00A17CBF"/>
    <w:rsid w:val="00A17D17"/>
    <w:rsid w:val="00A17D85"/>
    <w:rsid w:val="00A21DD7"/>
    <w:rsid w:val="00A22E2E"/>
    <w:rsid w:val="00A2326B"/>
    <w:rsid w:val="00A235F6"/>
    <w:rsid w:val="00A242B5"/>
    <w:rsid w:val="00A242FA"/>
    <w:rsid w:val="00A24D62"/>
    <w:rsid w:val="00A25B1D"/>
    <w:rsid w:val="00A25FFE"/>
    <w:rsid w:val="00A27500"/>
    <w:rsid w:val="00A27815"/>
    <w:rsid w:val="00A30804"/>
    <w:rsid w:val="00A3172D"/>
    <w:rsid w:val="00A31743"/>
    <w:rsid w:val="00A321A1"/>
    <w:rsid w:val="00A32349"/>
    <w:rsid w:val="00A32A29"/>
    <w:rsid w:val="00A32E5A"/>
    <w:rsid w:val="00A34949"/>
    <w:rsid w:val="00A34A09"/>
    <w:rsid w:val="00A34ABC"/>
    <w:rsid w:val="00A354B0"/>
    <w:rsid w:val="00A3578E"/>
    <w:rsid w:val="00A36CA3"/>
    <w:rsid w:val="00A3726F"/>
    <w:rsid w:val="00A37ECD"/>
    <w:rsid w:val="00A402CB"/>
    <w:rsid w:val="00A403DC"/>
    <w:rsid w:val="00A40811"/>
    <w:rsid w:val="00A4173E"/>
    <w:rsid w:val="00A427E4"/>
    <w:rsid w:val="00A441A7"/>
    <w:rsid w:val="00A4426A"/>
    <w:rsid w:val="00A44398"/>
    <w:rsid w:val="00A44760"/>
    <w:rsid w:val="00A447B0"/>
    <w:rsid w:val="00A44B40"/>
    <w:rsid w:val="00A44C2B"/>
    <w:rsid w:val="00A450E5"/>
    <w:rsid w:val="00A46C68"/>
    <w:rsid w:val="00A47272"/>
    <w:rsid w:val="00A47B29"/>
    <w:rsid w:val="00A50602"/>
    <w:rsid w:val="00A51644"/>
    <w:rsid w:val="00A52023"/>
    <w:rsid w:val="00A527FB"/>
    <w:rsid w:val="00A52A23"/>
    <w:rsid w:val="00A5384C"/>
    <w:rsid w:val="00A54619"/>
    <w:rsid w:val="00A54789"/>
    <w:rsid w:val="00A54976"/>
    <w:rsid w:val="00A55A3A"/>
    <w:rsid w:val="00A55D14"/>
    <w:rsid w:val="00A5616E"/>
    <w:rsid w:val="00A566B5"/>
    <w:rsid w:val="00A56E89"/>
    <w:rsid w:val="00A60739"/>
    <w:rsid w:val="00A60937"/>
    <w:rsid w:val="00A61DBE"/>
    <w:rsid w:val="00A626F1"/>
    <w:rsid w:val="00A63532"/>
    <w:rsid w:val="00A63DE3"/>
    <w:rsid w:val="00A65DD1"/>
    <w:rsid w:val="00A65FB0"/>
    <w:rsid w:val="00A66475"/>
    <w:rsid w:val="00A67097"/>
    <w:rsid w:val="00A67435"/>
    <w:rsid w:val="00A67D8A"/>
    <w:rsid w:val="00A70764"/>
    <w:rsid w:val="00A72ADA"/>
    <w:rsid w:val="00A73B70"/>
    <w:rsid w:val="00A80490"/>
    <w:rsid w:val="00A804B6"/>
    <w:rsid w:val="00A80678"/>
    <w:rsid w:val="00A80F2F"/>
    <w:rsid w:val="00A810B2"/>
    <w:rsid w:val="00A82637"/>
    <w:rsid w:val="00A8348B"/>
    <w:rsid w:val="00A84680"/>
    <w:rsid w:val="00A8546A"/>
    <w:rsid w:val="00A85BBD"/>
    <w:rsid w:val="00A86049"/>
    <w:rsid w:val="00A8656E"/>
    <w:rsid w:val="00A87CFF"/>
    <w:rsid w:val="00A87FD1"/>
    <w:rsid w:val="00A906C8"/>
    <w:rsid w:val="00A908A6"/>
    <w:rsid w:val="00A910D5"/>
    <w:rsid w:val="00A915F8"/>
    <w:rsid w:val="00A922E0"/>
    <w:rsid w:val="00A923E4"/>
    <w:rsid w:val="00A926B2"/>
    <w:rsid w:val="00A927C3"/>
    <w:rsid w:val="00A92ECA"/>
    <w:rsid w:val="00A92F8E"/>
    <w:rsid w:val="00A937C5"/>
    <w:rsid w:val="00A939FF"/>
    <w:rsid w:val="00A94997"/>
    <w:rsid w:val="00A95A1B"/>
    <w:rsid w:val="00A96977"/>
    <w:rsid w:val="00A97165"/>
    <w:rsid w:val="00A97D4D"/>
    <w:rsid w:val="00AA09B9"/>
    <w:rsid w:val="00AA0A61"/>
    <w:rsid w:val="00AA1E9F"/>
    <w:rsid w:val="00AA261D"/>
    <w:rsid w:val="00AA2A6E"/>
    <w:rsid w:val="00AA3949"/>
    <w:rsid w:val="00AA4344"/>
    <w:rsid w:val="00AA4822"/>
    <w:rsid w:val="00AA6017"/>
    <w:rsid w:val="00AA70E8"/>
    <w:rsid w:val="00AA733E"/>
    <w:rsid w:val="00AA7FF1"/>
    <w:rsid w:val="00AB00B3"/>
    <w:rsid w:val="00AB00C9"/>
    <w:rsid w:val="00AB0897"/>
    <w:rsid w:val="00AB0C50"/>
    <w:rsid w:val="00AB0C8B"/>
    <w:rsid w:val="00AB1204"/>
    <w:rsid w:val="00AB1644"/>
    <w:rsid w:val="00AB1EE1"/>
    <w:rsid w:val="00AB31CF"/>
    <w:rsid w:val="00AB3599"/>
    <w:rsid w:val="00AB384B"/>
    <w:rsid w:val="00AB4B42"/>
    <w:rsid w:val="00AB4DC7"/>
    <w:rsid w:val="00AB5818"/>
    <w:rsid w:val="00AB5836"/>
    <w:rsid w:val="00AB62FA"/>
    <w:rsid w:val="00AB68C4"/>
    <w:rsid w:val="00AB74E5"/>
    <w:rsid w:val="00AB79F9"/>
    <w:rsid w:val="00AC00CB"/>
    <w:rsid w:val="00AC0F65"/>
    <w:rsid w:val="00AC0F73"/>
    <w:rsid w:val="00AC14AF"/>
    <w:rsid w:val="00AC17D7"/>
    <w:rsid w:val="00AC1929"/>
    <w:rsid w:val="00AC19E1"/>
    <w:rsid w:val="00AC29AA"/>
    <w:rsid w:val="00AC3A99"/>
    <w:rsid w:val="00AC480A"/>
    <w:rsid w:val="00AC481A"/>
    <w:rsid w:val="00AC49E2"/>
    <w:rsid w:val="00AC4E83"/>
    <w:rsid w:val="00AC4EDA"/>
    <w:rsid w:val="00AC6E91"/>
    <w:rsid w:val="00AC7094"/>
    <w:rsid w:val="00AC7F26"/>
    <w:rsid w:val="00AD08B4"/>
    <w:rsid w:val="00AD35A0"/>
    <w:rsid w:val="00AD3F7E"/>
    <w:rsid w:val="00AD469A"/>
    <w:rsid w:val="00AD4D5B"/>
    <w:rsid w:val="00AD527E"/>
    <w:rsid w:val="00AD5D74"/>
    <w:rsid w:val="00AD5F94"/>
    <w:rsid w:val="00AD7055"/>
    <w:rsid w:val="00AD70F7"/>
    <w:rsid w:val="00AD76AF"/>
    <w:rsid w:val="00AD7706"/>
    <w:rsid w:val="00AE0B45"/>
    <w:rsid w:val="00AE1004"/>
    <w:rsid w:val="00AE1E19"/>
    <w:rsid w:val="00AE3002"/>
    <w:rsid w:val="00AE347E"/>
    <w:rsid w:val="00AE3533"/>
    <w:rsid w:val="00AE36C1"/>
    <w:rsid w:val="00AE3802"/>
    <w:rsid w:val="00AE39ED"/>
    <w:rsid w:val="00AE3C90"/>
    <w:rsid w:val="00AE5B9C"/>
    <w:rsid w:val="00AE6F01"/>
    <w:rsid w:val="00AE704C"/>
    <w:rsid w:val="00AE78F6"/>
    <w:rsid w:val="00AF0185"/>
    <w:rsid w:val="00AF0F2E"/>
    <w:rsid w:val="00AF23B5"/>
    <w:rsid w:val="00AF2DE0"/>
    <w:rsid w:val="00AF30DA"/>
    <w:rsid w:val="00AF3C9C"/>
    <w:rsid w:val="00AF3F4F"/>
    <w:rsid w:val="00AF4105"/>
    <w:rsid w:val="00AF4643"/>
    <w:rsid w:val="00AF49BA"/>
    <w:rsid w:val="00AF49F1"/>
    <w:rsid w:val="00AF5864"/>
    <w:rsid w:val="00AF5C5E"/>
    <w:rsid w:val="00AF60F5"/>
    <w:rsid w:val="00AF742C"/>
    <w:rsid w:val="00B02800"/>
    <w:rsid w:val="00B02C20"/>
    <w:rsid w:val="00B03AAE"/>
    <w:rsid w:val="00B03D39"/>
    <w:rsid w:val="00B03E67"/>
    <w:rsid w:val="00B043A2"/>
    <w:rsid w:val="00B04EAC"/>
    <w:rsid w:val="00B05143"/>
    <w:rsid w:val="00B06459"/>
    <w:rsid w:val="00B06CE9"/>
    <w:rsid w:val="00B071E2"/>
    <w:rsid w:val="00B0754D"/>
    <w:rsid w:val="00B0770C"/>
    <w:rsid w:val="00B07861"/>
    <w:rsid w:val="00B1029F"/>
    <w:rsid w:val="00B10957"/>
    <w:rsid w:val="00B10D1B"/>
    <w:rsid w:val="00B11396"/>
    <w:rsid w:val="00B11C04"/>
    <w:rsid w:val="00B12A45"/>
    <w:rsid w:val="00B12EFA"/>
    <w:rsid w:val="00B1394F"/>
    <w:rsid w:val="00B148D2"/>
    <w:rsid w:val="00B1580F"/>
    <w:rsid w:val="00B15EDB"/>
    <w:rsid w:val="00B16B2A"/>
    <w:rsid w:val="00B1747D"/>
    <w:rsid w:val="00B203EC"/>
    <w:rsid w:val="00B20AC8"/>
    <w:rsid w:val="00B25846"/>
    <w:rsid w:val="00B26171"/>
    <w:rsid w:val="00B26676"/>
    <w:rsid w:val="00B26B16"/>
    <w:rsid w:val="00B27EBB"/>
    <w:rsid w:val="00B30C8C"/>
    <w:rsid w:val="00B31429"/>
    <w:rsid w:val="00B315EF"/>
    <w:rsid w:val="00B31E5D"/>
    <w:rsid w:val="00B329D8"/>
    <w:rsid w:val="00B32DAA"/>
    <w:rsid w:val="00B34641"/>
    <w:rsid w:val="00B34DCF"/>
    <w:rsid w:val="00B34F4F"/>
    <w:rsid w:val="00B34F95"/>
    <w:rsid w:val="00B35427"/>
    <w:rsid w:val="00B357DF"/>
    <w:rsid w:val="00B3586F"/>
    <w:rsid w:val="00B35A2D"/>
    <w:rsid w:val="00B36AC4"/>
    <w:rsid w:val="00B400BA"/>
    <w:rsid w:val="00B4096F"/>
    <w:rsid w:val="00B40B15"/>
    <w:rsid w:val="00B40C30"/>
    <w:rsid w:val="00B40D1F"/>
    <w:rsid w:val="00B40F6C"/>
    <w:rsid w:val="00B4188D"/>
    <w:rsid w:val="00B41EBA"/>
    <w:rsid w:val="00B42383"/>
    <w:rsid w:val="00B432F0"/>
    <w:rsid w:val="00B434C4"/>
    <w:rsid w:val="00B441E0"/>
    <w:rsid w:val="00B453A2"/>
    <w:rsid w:val="00B46C4C"/>
    <w:rsid w:val="00B46EA7"/>
    <w:rsid w:val="00B500ED"/>
    <w:rsid w:val="00B516EE"/>
    <w:rsid w:val="00B52E30"/>
    <w:rsid w:val="00B53CC6"/>
    <w:rsid w:val="00B540ED"/>
    <w:rsid w:val="00B61AFC"/>
    <w:rsid w:val="00B62B10"/>
    <w:rsid w:val="00B62C5A"/>
    <w:rsid w:val="00B62FE5"/>
    <w:rsid w:val="00B638D8"/>
    <w:rsid w:val="00B63D45"/>
    <w:rsid w:val="00B641E5"/>
    <w:rsid w:val="00B643D1"/>
    <w:rsid w:val="00B64DBD"/>
    <w:rsid w:val="00B6506A"/>
    <w:rsid w:val="00B6532B"/>
    <w:rsid w:val="00B662A3"/>
    <w:rsid w:val="00B66FC1"/>
    <w:rsid w:val="00B677E6"/>
    <w:rsid w:val="00B67ABB"/>
    <w:rsid w:val="00B67DE2"/>
    <w:rsid w:val="00B707AE"/>
    <w:rsid w:val="00B70FB2"/>
    <w:rsid w:val="00B729AE"/>
    <w:rsid w:val="00B72A03"/>
    <w:rsid w:val="00B72C4F"/>
    <w:rsid w:val="00B72D15"/>
    <w:rsid w:val="00B74638"/>
    <w:rsid w:val="00B7488E"/>
    <w:rsid w:val="00B74F0A"/>
    <w:rsid w:val="00B75098"/>
    <w:rsid w:val="00B75772"/>
    <w:rsid w:val="00B75C34"/>
    <w:rsid w:val="00B765A8"/>
    <w:rsid w:val="00B76B79"/>
    <w:rsid w:val="00B7772D"/>
    <w:rsid w:val="00B77998"/>
    <w:rsid w:val="00B808D0"/>
    <w:rsid w:val="00B80B25"/>
    <w:rsid w:val="00B80B2D"/>
    <w:rsid w:val="00B813C3"/>
    <w:rsid w:val="00B8295D"/>
    <w:rsid w:val="00B82EBB"/>
    <w:rsid w:val="00B82F85"/>
    <w:rsid w:val="00B83C42"/>
    <w:rsid w:val="00B848FF"/>
    <w:rsid w:val="00B85212"/>
    <w:rsid w:val="00B868CD"/>
    <w:rsid w:val="00B86CBA"/>
    <w:rsid w:val="00B871E4"/>
    <w:rsid w:val="00B87306"/>
    <w:rsid w:val="00B90559"/>
    <w:rsid w:val="00B91BB1"/>
    <w:rsid w:val="00B92072"/>
    <w:rsid w:val="00B928C9"/>
    <w:rsid w:val="00B93D42"/>
    <w:rsid w:val="00B940B3"/>
    <w:rsid w:val="00B958F7"/>
    <w:rsid w:val="00B95D4B"/>
    <w:rsid w:val="00B97F5B"/>
    <w:rsid w:val="00BA064A"/>
    <w:rsid w:val="00BA171F"/>
    <w:rsid w:val="00BA198A"/>
    <w:rsid w:val="00BA1F0D"/>
    <w:rsid w:val="00BA2B52"/>
    <w:rsid w:val="00BA36CC"/>
    <w:rsid w:val="00BA38A1"/>
    <w:rsid w:val="00BA3F58"/>
    <w:rsid w:val="00BA586A"/>
    <w:rsid w:val="00BA7827"/>
    <w:rsid w:val="00BB0919"/>
    <w:rsid w:val="00BB3F25"/>
    <w:rsid w:val="00BB4BC0"/>
    <w:rsid w:val="00BB5DA2"/>
    <w:rsid w:val="00BB6E43"/>
    <w:rsid w:val="00BB7191"/>
    <w:rsid w:val="00BC15A0"/>
    <w:rsid w:val="00BC2358"/>
    <w:rsid w:val="00BC23F1"/>
    <w:rsid w:val="00BC35BB"/>
    <w:rsid w:val="00BC38D5"/>
    <w:rsid w:val="00BC5174"/>
    <w:rsid w:val="00BC5794"/>
    <w:rsid w:val="00BC5CCB"/>
    <w:rsid w:val="00BC6827"/>
    <w:rsid w:val="00BC78AE"/>
    <w:rsid w:val="00BD1033"/>
    <w:rsid w:val="00BD2B4B"/>
    <w:rsid w:val="00BD3C3D"/>
    <w:rsid w:val="00BD4002"/>
    <w:rsid w:val="00BD562B"/>
    <w:rsid w:val="00BD71AA"/>
    <w:rsid w:val="00BD7527"/>
    <w:rsid w:val="00BD7AFE"/>
    <w:rsid w:val="00BD7C6C"/>
    <w:rsid w:val="00BE0513"/>
    <w:rsid w:val="00BE1978"/>
    <w:rsid w:val="00BE220C"/>
    <w:rsid w:val="00BE2F8A"/>
    <w:rsid w:val="00BE3608"/>
    <w:rsid w:val="00BE406F"/>
    <w:rsid w:val="00BE481D"/>
    <w:rsid w:val="00BE62AC"/>
    <w:rsid w:val="00BE6511"/>
    <w:rsid w:val="00BE6DB3"/>
    <w:rsid w:val="00BE7625"/>
    <w:rsid w:val="00BE7F6D"/>
    <w:rsid w:val="00BF0197"/>
    <w:rsid w:val="00BF18DE"/>
    <w:rsid w:val="00BF26AD"/>
    <w:rsid w:val="00BF301D"/>
    <w:rsid w:val="00BF4FD2"/>
    <w:rsid w:val="00BF5829"/>
    <w:rsid w:val="00BF5E16"/>
    <w:rsid w:val="00BF63D7"/>
    <w:rsid w:val="00BF66C9"/>
    <w:rsid w:val="00BF6897"/>
    <w:rsid w:val="00BF6EAD"/>
    <w:rsid w:val="00BF7BD6"/>
    <w:rsid w:val="00BF7DF5"/>
    <w:rsid w:val="00BF7DFC"/>
    <w:rsid w:val="00C000EF"/>
    <w:rsid w:val="00C01C6F"/>
    <w:rsid w:val="00C02DDA"/>
    <w:rsid w:val="00C03448"/>
    <w:rsid w:val="00C03780"/>
    <w:rsid w:val="00C03A47"/>
    <w:rsid w:val="00C04AC8"/>
    <w:rsid w:val="00C05125"/>
    <w:rsid w:val="00C05374"/>
    <w:rsid w:val="00C058DE"/>
    <w:rsid w:val="00C05E93"/>
    <w:rsid w:val="00C06E66"/>
    <w:rsid w:val="00C0709A"/>
    <w:rsid w:val="00C104C1"/>
    <w:rsid w:val="00C11ACB"/>
    <w:rsid w:val="00C1298E"/>
    <w:rsid w:val="00C149BD"/>
    <w:rsid w:val="00C14FF7"/>
    <w:rsid w:val="00C1540E"/>
    <w:rsid w:val="00C15B09"/>
    <w:rsid w:val="00C15B88"/>
    <w:rsid w:val="00C166F4"/>
    <w:rsid w:val="00C20B5B"/>
    <w:rsid w:val="00C21122"/>
    <w:rsid w:val="00C21151"/>
    <w:rsid w:val="00C21234"/>
    <w:rsid w:val="00C21909"/>
    <w:rsid w:val="00C21FD0"/>
    <w:rsid w:val="00C2262E"/>
    <w:rsid w:val="00C23821"/>
    <w:rsid w:val="00C242C1"/>
    <w:rsid w:val="00C247A6"/>
    <w:rsid w:val="00C24FDF"/>
    <w:rsid w:val="00C25554"/>
    <w:rsid w:val="00C25814"/>
    <w:rsid w:val="00C2733E"/>
    <w:rsid w:val="00C273F7"/>
    <w:rsid w:val="00C274EE"/>
    <w:rsid w:val="00C27703"/>
    <w:rsid w:val="00C27756"/>
    <w:rsid w:val="00C278E9"/>
    <w:rsid w:val="00C27CC1"/>
    <w:rsid w:val="00C30143"/>
    <w:rsid w:val="00C30BD8"/>
    <w:rsid w:val="00C30E8F"/>
    <w:rsid w:val="00C31103"/>
    <w:rsid w:val="00C31189"/>
    <w:rsid w:val="00C3123C"/>
    <w:rsid w:val="00C31833"/>
    <w:rsid w:val="00C31842"/>
    <w:rsid w:val="00C31F8E"/>
    <w:rsid w:val="00C323C9"/>
    <w:rsid w:val="00C32EA5"/>
    <w:rsid w:val="00C3446C"/>
    <w:rsid w:val="00C34C7A"/>
    <w:rsid w:val="00C3520D"/>
    <w:rsid w:val="00C35B6F"/>
    <w:rsid w:val="00C364D3"/>
    <w:rsid w:val="00C3684D"/>
    <w:rsid w:val="00C375FB"/>
    <w:rsid w:val="00C404C3"/>
    <w:rsid w:val="00C423A2"/>
    <w:rsid w:val="00C42FDB"/>
    <w:rsid w:val="00C43214"/>
    <w:rsid w:val="00C43EB6"/>
    <w:rsid w:val="00C43F7A"/>
    <w:rsid w:val="00C44268"/>
    <w:rsid w:val="00C44963"/>
    <w:rsid w:val="00C44D14"/>
    <w:rsid w:val="00C44DED"/>
    <w:rsid w:val="00C44E66"/>
    <w:rsid w:val="00C4563E"/>
    <w:rsid w:val="00C467DA"/>
    <w:rsid w:val="00C47477"/>
    <w:rsid w:val="00C47C7E"/>
    <w:rsid w:val="00C47E7A"/>
    <w:rsid w:val="00C5100F"/>
    <w:rsid w:val="00C53921"/>
    <w:rsid w:val="00C53D3F"/>
    <w:rsid w:val="00C53F34"/>
    <w:rsid w:val="00C54DEA"/>
    <w:rsid w:val="00C550BF"/>
    <w:rsid w:val="00C55EA5"/>
    <w:rsid w:val="00C561E2"/>
    <w:rsid w:val="00C56CED"/>
    <w:rsid w:val="00C56D08"/>
    <w:rsid w:val="00C57862"/>
    <w:rsid w:val="00C605D9"/>
    <w:rsid w:val="00C61556"/>
    <w:rsid w:val="00C61CDB"/>
    <w:rsid w:val="00C64091"/>
    <w:rsid w:val="00C65255"/>
    <w:rsid w:val="00C653A8"/>
    <w:rsid w:val="00C65491"/>
    <w:rsid w:val="00C66A10"/>
    <w:rsid w:val="00C66BCC"/>
    <w:rsid w:val="00C672CF"/>
    <w:rsid w:val="00C67E1D"/>
    <w:rsid w:val="00C701CE"/>
    <w:rsid w:val="00C71E81"/>
    <w:rsid w:val="00C7281C"/>
    <w:rsid w:val="00C7282D"/>
    <w:rsid w:val="00C73796"/>
    <w:rsid w:val="00C7451A"/>
    <w:rsid w:val="00C745E7"/>
    <w:rsid w:val="00C74924"/>
    <w:rsid w:val="00C752A7"/>
    <w:rsid w:val="00C7551F"/>
    <w:rsid w:val="00C75B83"/>
    <w:rsid w:val="00C765F6"/>
    <w:rsid w:val="00C76A3D"/>
    <w:rsid w:val="00C80872"/>
    <w:rsid w:val="00C80B01"/>
    <w:rsid w:val="00C81089"/>
    <w:rsid w:val="00C82F17"/>
    <w:rsid w:val="00C831A4"/>
    <w:rsid w:val="00C83AF8"/>
    <w:rsid w:val="00C85192"/>
    <w:rsid w:val="00C85DB7"/>
    <w:rsid w:val="00C865C3"/>
    <w:rsid w:val="00C86B5E"/>
    <w:rsid w:val="00C87A76"/>
    <w:rsid w:val="00C87AA4"/>
    <w:rsid w:val="00C87C2A"/>
    <w:rsid w:val="00C90591"/>
    <w:rsid w:val="00C90C0B"/>
    <w:rsid w:val="00C9170A"/>
    <w:rsid w:val="00C91D64"/>
    <w:rsid w:val="00C91EB2"/>
    <w:rsid w:val="00C921FE"/>
    <w:rsid w:val="00C92568"/>
    <w:rsid w:val="00C92BED"/>
    <w:rsid w:val="00C9535E"/>
    <w:rsid w:val="00C9636F"/>
    <w:rsid w:val="00C97D5C"/>
    <w:rsid w:val="00C97EEC"/>
    <w:rsid w:val="00CA0D31"/>
    <w:rsid w:val="00CA1188"/>
    <w:rsid w:val="00CA11D3"/>
    <w:rsid w:val="00CA19A3"/>
    <w:rsid w:val="00CA1FF4"/>
    <w:rsid w:val="00CA228D"/>
    <w:rsid w:val="00CA241D"/>
    <w:rsid w:val="00CA2762"/>
    <w:rsid w:val="00CA3E91"/>
    <w:rsid w:val="00CA3ED5"/>
    <w:rsid w:val="00CA5244"/>
    <w:rsid w:val="00CB0267"/>
    <w:rsid w:val="00CB098E"/>
    <w:rsid w:val="00CB295D"/>
    <w:rsid w:val="00CB300D"/>
    <w:rsid w:val="00CB31EC"/>
    <w:rsid w:val="00CB335B"/>
    <w:rsid w:val="00CB4006"/>
    <w:rsid w:val="00CB4A81"/>
    <w:rsid w:val="00CB4B02"/>
    <w:rsid w:val="00CB566E"/>
    <w:rsid w:val="00CB5D13"/>
    <w:rsid w:val="00CB62E8"/>
    <w:rsid w:val="00CB658C"/>
    <w:rsid w:val="00CB6ED6"/>
    <w:rsid w:val="00CB721A"/>
    <w:rsid w:val="00CB7791"/>
    <w:rsid w:val="00CB783C"/>
    <w:rsid w:val="00CC00A9"/>
    <w:rsid w:val="00CC05B3"/>
    <w:rsid w:val="00CC19C7"/>
    <w:rsid w:val="00CC19D6"/>
    <w:rsid w:val="00CC223F"/>
    <w:rsid w:val="00CC2BFA"/>
    <w:rsid w:val="00CC2C8C"/>
    <w:rsid w:val="00CC34AB"/>
    <w:rsid w:val="00CC408A"/>
    <w:rsid w:val="00CC4372"/>
    <w:rsid w:val="00CC56E7"/>
    <w:rsid w:val="00CC58D4"/>
    <w:rsid w:val="00CC5A73"/>
    <w:rsid w:val="00CC61D0"/>
    <w:rsid w:val="00CC65E3"/>
    <w:rsid w:val="00CC724A"/>
    <w:rsid w:val="00CC7328"/>
    <w:rsid w:val="00CC76E2"/>
    <w:rsid w:val="00CD0440"/>
    <w:rsid w:val="00CD08A2"/>
    <w:rsid w:val="00CD222F"/>
    <w:rsid w:val="00CD2426"/>
    <w:rsid w:val="00CD24B8"/>
    <w:rsid w:val="00CD2F50"/>
    <w:rsid w:val="00CD3A7E"/>
    <w:rsid w:val="00CD3DEA"/>
    <w:rsid w:val="00CD51B2"/>
    <w:rsid w:val="00CD5D03"/>
    <w:rsid w:val="00CD5E3E"/>
    <w:rsid w:val="00CD65FA"/>
    <w:rsid w:val="00CD6C13"/>
    <w:rsid w:val="00CD729F"/>
    <w:rsid w:val="00CE000B"/>
    <w:rsid w:val="00CE09E5"/>
    <w:rsid w:val="00CE0F4F"/>
    <w:rsid w:val="00CE1C37"/>
    <w:rsid w:val="00CE3117"/>
    <w:rsid w:val="00CE36B9"/>
    <w:rsid w:val="00CE3A79"/>
    <w:rsid w:val="00CE43D2"/>
    <w:rsid w:val="00CE4B68"/>
    <w:rsid w:val="00CE5AAC"/>
    <w:rsid w:val="00CE61C4"/>
    <w:rsid w:val="00CE61FF"/>
    <w:rsid w:val="00CE669B"/>
    <w:rsid w:val="00CE7F41"/>
    <w:rsid w:val="00CF1516"/>
    <w:rsid w:val="00CF177E"/>
    <w:rsid w:val="00CF2108"/>
    <w:rsid w:val="00CF3CFC"/>
    <w:rsid w:val="00CF41B1"/>
    <w:rsid w:val="00CF4589"/>
    <w:rsid w:val="00CF48C5"/>
    <w:rsid w:val="00CF508F"/>
    <w:rsid w:val="00CF5331"/>
    <w:rsid w:val="00D010CE"/>
    <w:rsid w:val="00D017BE"/>
    <w:rsid w:val="00D0272D"/>
    <w:rsid w:val="00D029C5"/>
    <w:rsid w:val="00D029E6"/>
    <w:rsid w:val="00D03EAE"/>
    <w:rsid w:val="00D0402B"/>
    <w:rsid w:val="00D04914"/>
    <w:rsid w:val="00D04C8F"/>
    <w:rsid w:val="00D052C1"/>
    <w:rsid w:val="00D05861"/>
    <w:rsid w:val="00D05C4D"/>
    <w:rsid w:val="00D06480"/>
    <w:rsid w:val="00D06A2E"/>
    <w:rsid w:val="00D10C8E"/>
    <w:rsid w:val="00D1183D"/>
    <w:rsid w:val="00D12C9A"/>
    <w:rsid w:val="00D13368"/>
    <w:rsid w:val="00D13629"/>
    <w:rsid w:val="00D13690"/>
    <w:rsid w:val="00D14377"/>
    <w:rsid w:val="00D15767"/>
    <w:rsid w:val="00D15A4B"/>
    <w:rsid w:val="00D17226"/>
    <w:rsid w:val="00D17275"/>
    <w:rsid w:val="00D20CB0"/>
    <w:rsid w:val="00D20DFF"/>
    <w:rsid w:val="00D2117B"/>
    <w:rsid w:val="00D21758"/>
    <w:rsid w:val="00D225DC"/>
    <w:rsid w:val="00D228FB"/>
    <w:rsid w:val="00D2346B"/>
    <w:rsid w:val="00D24934"/>
    <w:rsid w:val="00D271A5"/>
    <w:rsid w:val="00D2770D"/>
    <w:rsid w:val="00D27B3C"/>
    <w:rsid w:val="00D3094A"/>
    <w:rsid w:val="00D30D8D"/>
    <w:rsid w:val="00D30EF0"/>
    <w:rsid w:val="00D33843"/>
    <w:rsid w:val="00D34494"/>
    <w:rsid w:val="00D35535"/>
    <w:rsid w:val="00D3696F"/>
    <w:rsid w:val="00D36DE8"/>
    <w:rsid w:val="00D3775D"/>
    <w:rsid w:val="00D41551"/>
    <w:rsid w:val="00D43585"/>
    <w:rsid w:val="00D43DE6"/>
    <w:rsid w:val="00D43F04"/>
    <w:rsid w:val="00D43F0F"/>
    <w:rsid w:val="00D45221"/>
    <w:rsid w:val="00D45424"/>
    <w:rsid w:val="00D45722"/>
    <w:rsid w:val="00D46342"/>
    <w:rsid w:val="00D46498"/>
    <w:rsid w:val="00D46B1F"/>
    <w:rsid w:val="00D476B8"/>
    <w:rsid w:val="00D47CB1"/>
    <w:rsid w:val="00D47D3D"/>
    <w:rsid w:val="00D511D5"/>
    <w:rsid w:val="00D51BF1"/>
    <w:rsid w:val="00D51E33"/>
    <w:rsid w:val="00D546C6"/>
    <w:rsid w:val="00D54CFF"/>
    <w:rsid w:val="00D557AB"/>
    <w:rsid w:val="00D561CC"/>
    <w:rsid w:val="00D57785"/>
    <w:rsid w:val="00D57E4B"/>
    <w:rsid w:val="00D601F7"/>
    <w:rsid w:val="00D60C3C"/>
    <w:rsid w:val="00D60C3D"/>
    <w:rsid w:val="00D60D8A"/>
    <w:rsid w:val="00D6187D"/>
    <w:rsid w:val="00D61945"/>
    <w:rsid w:val="00D61C6C"/>
    <w:rsid w:val="00D61DF5"/>
    <w:rsid w:val="00D64E99"/>
    <w:rsid w:val="00D650ED"/>
    <w:rsid w:val="00D655B8"/>
    <w:rsid w:val="00D6746D"/>
    <w:rsid w:val="00D67F13"/>
    <w:rsid w:val="00D701E9"/>
    <w:rsid w:val="00D704CE"/>
    <w:rsid w:val="00D70BD5"/>
    <w:rsid w:val="00D70D28"/>
    <w:rsid w:val="00D7130F"/>
    <w:rsid w:val="00D71A1F"/>
    <w:rsid w:val="00D73079"/>
    <w:rsid w:val="00D733BD"/>
    <w:rsid w:val="00D7358F"/>
    <w:rsid w:val="00D73C78"/>
    <w:rsid w:val="00D73DBB"/>
    <w:rsid w:val="00D7499A"/>
    <w:rsid w:val="00D749C3"/>
    <w:rsid w:val="00D7515F"/>
    <w:rsid w:val="00D75254"/>
    <w:rsid w:val="00D7549F"/>
    <w:rsid w:val="00D758EA"/>
    <w:rsid w:val="00D75EDF"/>
    <w:rsid w:val="00D76032"/>
    <w:rsid w:val="00D8070C"/>
    <w:rsid w:val="00D80FED"/>
    <w:rsid w:val="00D818AC"/>
    <w:rsid w:val="00D81DFC"/>
    <w:rsid w:val="00D82319"/>
    <w:rsid w:val="00D83726"/>
    <w:rsid w:val="00D84360"/>
    <w:rsid w:val="00D849A9"/>
    <w:rsid w:val="00D84A06"/>
    <w:rsid w:val="00D84BB1"/>
    <w:rsid w:val="00D8555D"/>
    <w:rsid w:val="00D86BAF"/>
    <w:rsid w:val="00D86D66"/>
    <w:rsid w:val="00D86E29"/>
    <w:rsid w:val="00D87618"/>
    <w:rsid w:val="00D87D07"/>
    <w:rsid w:val="00D91A78"/>
    <w:rsid w:val="00D91D38"/>
    <w:rsid w:val="00D92C28"/>
    <w:rsid w:val="00D92D9B"/>
    <w:rsid w:val="00D92FD2"/>
    <w:rsid w:val="00D93235"/>
    <w:rsid w:val="00D95296"/>
    <w:rsid w:val="00D95C64"/>
    <w:rsid w:val="00D96D72"/>
    <w:rsid w:val="00D97925"/>
    <w:rsid w:val="00DA061C"/>
    <w:rsid w:val="00DA06AE"/>
    <w:rsid w:val="00DA1529"/>
    <w:rsid w:val="00DA1547"/>
    <w:rsid w:val="00DA18F0"/>
    <w:rsid w:val="00DA1DF9"/>
    <w:rsid w:val="00DA28C7"/>
    <w:rsid w:val="00DA2948"/>
    <w:rsid w:val="00DA3D44"/>
    <w:rsid w:val="00DA4AC1"/>
    <w:rsid w:val="00DA4CB7"/>
    <w:rsid w:val="00DA5C16"/>
    <w:rsid w:val="00DA763A"/>
    <w:rsid w:val="00DB0469"/>
    <w:rsid w:val="00DB076D"/>
    <w:rsid w:val="00DB0827"/>
    <w:rsid w:val="00DB19E5"/>
    <w:rsid w:val="00DB26F8"/>
    <w:rsid w:val="00DB298F"/>
    <w:rsid w:val="00DB3A2E"/>
    <w:rsid w:val="00DB5DAD"/>
    <w:rsid w:val="00DB5DC6"/>
    <w:rsid w:val="00DB5F25"/>
    <w:rsid w:val="00DB6FB5"/>
    <w:rsid w:val="00DC05AF"/>
    <w:rsid w:val="00DC0E76"/>
    <w:rsid w:val="00DC0FFF"/>
    <w:rsid w:val="00DC13BA"/>
    <w:rsid w:val="00DC185D"/>
    <w:rsid w:val="00DC1CAC"/>
    <w:rsid w:val="00DC2280"/>
    <w:rsid w:val="00DC2392"/>
    <w:rsid w:val="00DC264B"/>
    <w:rsid w:val="00DC2804"/>
    <w:rsid w:val="00DC2E1B"/>
    <w:rsid w:val="00DC2EFB"/>
    <w:rsid w:val="00DC4414"/>
    <w:rsid w:val="00DC442E"/>
    <w:rsid w:val="00DC54A5"/>
    <w:rsid w:val="00DC786E"/>
    <w:rsid w:val="00DD09DE"/>
    <w:rsid w:val="00DD0C86"/>
    <w:rsid w:val="00DD2405"/>
    <w:rsid w:val="00DD35C1"/>
    <w:rsid w:val="00DD3D38"/>
    <w:rsid w:val="00DD40F5"/>
    <w:rsid w:val="00DD4EC3"/>
    <w:rsid w:val="00DD4EC9"/>
    <w:rsid w:val="00DD503E"/>
    <w:rsid w:val="00DD5653"/>
    <w:rsid w:val="00DD5969"/>
    <w:rsid w:val="00DD7014"/>
    <w:rsid w:val="00DD7073"/>
    <w:rsid w:val="00DD7492"/>
    <w:rsid w:val="00DE01CB"/>
    <w:rsid w:val="00DE047E"/>
    <w:rsid w:val="00DE0D00"/>
    <w:rsid w:val="00DE2B3C"/>
    <w:rsid w:val="00DE33B7"/>
    <w:rsid w:val="00DE33BC"/>
    <w:rsid w:val="00DE3556"/>
    <w:rsid w:val="00DE3B6D"/>
    <w:rsid w:val="00DE5726"/>
    <w:rsid w:val="00DE5EC3"/>
    <w:rsid w:val="00DE6218"/>
    <w:rsid w:val="00DE78E2"/>
    <w:rsid w:val="00DE7DDC"/>
    <w:rsid w:val="00DF008F"/>
    <w:rsid w:val="00DF03E8"/>
    <w:rsid w:val="00DF1501"/>
    <w:rsid w:val="00DF2A9D"/>
    <w:rsid w:val="00DF3184"/>
    <w:rsid w:val="00DF3638"/>
    <w:rsid w:val="00DF5766"/>
    <w:rsid w:val="00DF735C"/>
    <w:rsid w:val="00DF74D4"/>
    <w:rsid w:val="00DF74E1"/>
    <w:rsid w:val="00DF7E09"/>
    <w:rsid w:val="00E015DC"/>
    <w:rsid w:val="00E023CE"/>
    <w:rsid w:val="00E02ACE"/>
    <w:rsid w:val="00E02E75"/>
    <w:rsid w:val="00E04A9E"/>
    <w:rsid w:val="00E04E98"/>
    <w:rsid w:val="00E056AB"/>
    <w:rsid w:val="00E06CCE"/>
    <w:rsid w:val="00E072C6"/>
    <w:rsid w:val="00E10800"/>
    <w:rsid w:val="00E11CED"/>
    <w:rsid w:val="00E1379B"/>
    <w:rsid w:val="00E13D58"/>
    <w:rsid w:val="00E15018"/>
    <w:rsid w:val="00E156B5"/>
    <w:rsid w:val="00E16BF4"/>
    <w:rsid w:val="00E1702C"/>
    <w:rsid w:val="00E1733D"/>
    <w:rsid w:val="00E2035C"/>
    <w:rsid w:val="00E20A28"/>
    <w:rsid w:val="00E21BDA"/>
    <w:rsid w:val="00E223D6"/>
    <w:rsid w:val="00E2267D"/>
    <w:rsid w:val="00E22742"/>
    <w:rsid w:val="00E22C2F"/>
    <w:rsid w:val="00E23099"/>
    <w:rsid w:val="00E2331F"/>
    <w:rsid w:val="00E23539"/>
    <w:rsid w:val="00E23740"/>
    <w:rsid w:val="00E23B80"/>
    <w:rsid w:val="00E245E5"/>
    <w:rsid w:val="00E24D95"/>
    <w:rsid w:val="00E24FEF"/>
    <w:rsid w:val="00E250E9"/>
    <w:rsid w:val="00E3106A"/>
    <w:rsid w:val="00E31FCC"/>
    <w:rsid w:val="00E32797"/>
    <w:rsid w:val="00E33072"/>
    <w:rsid w:val="00E337AB"/>
    <w:rsid w:val="00E3406A"/>
    <w:rsid w:val="00E34FED"/>
    <w:rsid w:val="00E3512B"/>
    <w:rsid w:val="00E35ADA"/>
    <w:rsid w:val="00E35F4B"/>
    <w:rsid w:val="00E37C19"/>
    <w:rsid w:val="00E37C70"/>
    <w:rsid w:val="00E411AE"/>
    <w:rsid w:val="00E416D0"/>
    <w:rsid w:val="00E422C3"/>
    <w:rsid w:val="00E426A9"/>
    <w:rsid w:val="00E4376E"/>
    <w:rsid w:val="00E43A43"/>
    <w:rsid w:val="00E44BCD"/>
    <w:rsid w:val="00E44EA9"/>
    <w:rsid w:val="00E4663B"/>
    <w:rsid w:val="00E466FC"/>
    <w:rsid w:val="00E46A5F"/>
    <w:rsid w:val="00E47FB6"/>
    <w:rsid w:val="00E51755"/>
    <w:rsid w:val="00E52037"/>
    <w:rsid w:val="00E525B7"/>
    <w:rsid w:val="00E52B11"/>
    <w:rsid w:val="00E536C5"/>
    <w:rsid w:val="00E5400E"/>
    <w:rsid w:val="00E54AAC"/>
    <w:rsid w:val="00E54BE4"/>
    <w:rsid w:val="00E54D3B"/>
    <w:rsid w:val="00E552C3"/>
    <w:rsid w:val="00E55A60"/>
    <w:rsid w:val="00E55E7B"/>
    <w:rsid w:val="00E56A3A"/>
    <w:rsid w:val="00E5708C"/>
    <w:rsid w:val="00E60B9C"/>
    <w:rsid w:val="00E60FCE"/>
    <w:rsid w:val="00E6306E"/>
    <w:rsid w:val="00E63102"/>
    <w:rsid w:val="00E633D2"/>
    <w:rsid w:val="00E638A6"/>
    <w:rsid w:val="00E650B8"/>
    <w:rsid w:val="00E65A82"/>
    <w:rsid w:val="00E65E71"/>
    <w:rsid w:val="00E67972"/>
    <w:rsid w:val="00E7034F"/>
    <w:rsid w:val="00E70E3F"/>
    <w:rsid w:val="00E711DA"/>
    <w:rsid w:val="00E71736"/>
    <w:rsid w:val="00E743BD"/>
    <w:rsid w:val="00E746C9"/>
    <w:rsid w:val="00E74891"/>
    <w:rsid w:val="00E76543"/>
    <w:rsid w:val="00E77391"/>
    <w:rsid w:val="00E7781F"/>
    <w:rsid w:val="00E77877"/>
    <w:rsid w:val="00E77955"/>
    <w:rsid w:val="00E80121"/>
    <w:rsid w:val="00E801F3"/>
    <w:rsid w:val="00E80A2F"/>
    <w:rsid w:val="00E814CC"/>
    <w:rsid w:val="00E81C03"/>
    <w:rsid w:val="00E81DA4"/>
    <w:rsid w:val="00E81F31"/>
    <w:rsid w:val="00E82885"/>
    <w:rsid w:val="00E83A12"/>
    <w:rsid w:val="00E83B02"/>
    <w:rsid w:val="00E84149"/>
    <w:rsid w:val="00E8479D"/>
    <w:rsid w:val="00E856A9"/>
    <w:rsid w:val="00E8597F"/>
    <w:rsid w:val="00E85C09"/>
    <w:rsid w:val="00E86083"/>
    <w:rsid w:val="00E87206"/>
    <w:rsid w:val="00E8759E"/>
    <w:rsid w:val="00E87DF4"/>
    <w:rsid w:val="00E91686"/>
    <w:rsid w:val="00E92149"/>
    <w:rsid w:val="00E9215F"/>
    <w:rsid w:val="00E92794"/>
    <w:rsid w:val="00E92BFD"/>
    <w:rsid w:val="00E93462"/>
    <w:rsid w:val="00E938E4"/>
    <w:rsid w:val="00E94176"/>
    <w:rsid w:val="00E941E8"/>
    <w:rsid w:val="00E94225"/>
    <w:rsid w:val="00E94992"/>
    <w:rsid w:val="00E95A20"/>
    <w:rsid w:val="00E95C36"/>
    <w:rsid w:val="00E96220"/>
    <w:rsid w:val="00E966B6"/>
    <w:rsid w:val="00E96756"/>
    <w:rsid w:val="00E9746D"/>
    <w:rsid w:val="00EA035A"/>
    <w:rsid w:val="00EA091B"/>
    <w:rsid w:val="00EA0B2C"/>
    <w:rsid w:val="00EA13B7"/>
    <w:rsid w:val="00EA1A8D"/>
    <w:rsid w:val="00EA1BF9"/>
    <w:rsid w:val="00EA2B27"/>
    <w:rsid w:val="00EA2B68"/>
    <w:rsid w:val="00EA35E2"/>
    <w:rsid w:val="00EA38F8"/>
    <w:rsid w:val="00EA4526"/>
    <w:rsid w:val="00EA488E"/>
    <w:rsid w:val="00EA496E"/>
    <w:rsid w:val="00EA4DDE"/>
    <w:rsid w:val="00EA5293"/>
    <w:rsid w:val="00EA54D8"/>
    <w:rsid w:val="00EA56A0"/>
    <w:rsid w:val="00EA5859"/>
    <w:rsid w:val="00EA6477"/>
    <w:rsid w:val="00EA6FDA"/>
    <w:rsid w:val="00EA7344"/>
    <w:rsid w:val="00EA7475"/>
    <w:rsid w:val="00EA7ECD"/>
    <w:rsid w:val="00EB04F5"/>
    <w:rsid w:val="00EB0E03"/>
    <w:rsid w:val="00EB1F56"/>
    <w:rsid w:val="00EB24B3"/>
    <w:rsid w:val="00EB2F38"/>
    <w:rsid w:val="00EB4144"/>
    <w:rsid w:val="00EB43CB"/>
    <w:rsid w:val="00EB4502"/>
    <w:rsid w:val="00EB6D4D"/>
    <w:rsid w:val="00EB763F"/>
    <w:rsid w:val="00EB7A79"/>
    <w:rsid w:val="00EB7E99"/>
    <w:rsid w:val="00EC0375"/>
    <w:rsid w:val="00EC107B"/>
    <w:rsid w:val="00EC2608"/>
    <w:rsid w:val="00EC28E4"/>
    <w:rsid w:val="00EC34A6"/>
    <w:rsid w:val="00EC38A1"/>
    <w:rsid w:val="00EC514A"/>
    <w:rsid w:val="00EC6180"/>
    <w:rsid w:val="00EC6542"/>
    <w:rsid w:val="00EC6FA5"/>
    <w:rsid w:val="00ED12C8"/>
    <w:rsid w:val="00ED1347"/>
    <w:rsid w:val="00ED15A0"/>
    <w:rsid w:val="00ED32C7"/>
    <w:rsid w:val="00ED346C"/>
    <w:rsid w:val="00ED36C0"/>
    <w:rsid w:val="00ED3F86"/>
    <w:rsid w:val="00ED3FF6"/>
    <w:rsid w:val="00ED4220"/>
    <w:rsid w:val="00ED51FB"/>
    <w:rsid w:val="00ED5710"/>
    <w:rsid w:val="00ED57C3"/>
    <w:rsid w:val="00ED615F"/>
    <w:rsid w:val="00ED7173"/>
    <w:rsid w:val="00ED731B"/>
    <w:rsid w:val="00ED7773"/>
    <w:rsid w:val="00ED7974"/>
    <w:rsid w:val="00ED79F3"/>
    <w:rsid w:val="00EE0D85"/>
    <w:rsid w:val="00EE13AD"/>
    <w:rsid w:val="00EE160D"/>
    <w:rsid w:val="00EE1D66"/>
    <w:rsid w:val="00EE1ECA"/>
    <w:rsid w:val="00EE30A9"/>
    <w:rsid w:val="00EE344F"/>
    <w:rsid w:val="00EE349A"/>
    <w:rsid w:val="00EE36D5"/>
    <w:rsid w:val="00EE3935"/>
    <w:rsid w:val="00EE5103"/>
    <w:rsid w:val="00EE54E8"/>
    <w:rsid w:val="00EE5D0B"/>
    <w:rsid w:val="00EE62AC"/>
    <w:rsid w:val="00EE6370"/>
    <w:rsid w:val="00EE64D7"/>
    <w:rsid w:val="00EE71C3"/>
    <w:rsid w:val="00EE757A"/>
    <w:rsid w:val="00EE75DB"/>
    <w:rsid w:val="00EE7AEB"/>
    <w:rsid w:val="00EE7C8A"/>
    <w:rsid w:val="00EF0064"/>
    <w:rsid w:val="00EF1D5B"/>
    <w:rsid w:val="00EF1F9B"/>
    <w:rsid w:val="00EF33A1"/>
    <w:rsid w:val="00EF36D7"/>
    <w:rsid w:val="00EF4012"/>
    <w:rsid w:val="00EF4AC4"/>
    <w:rsid w:val="00EF4C79"/>
    <w:rsid w:val="00EF5121"/>
    <w:rsid w:val="00EF55E6"/>
    <w:rsid w:val="00EF573D"/>
    <w:rsid w:val="00EF6543"/>
    <w:rsid w:val="00EF6A3E"/>
    <w:rsid w:val="00EF774A"/>
    <w:rsid w:val="00EF7A11"/>
    <w:rsid w:val="00F00601"/>
    <w:rsid w:val="00F009A6"/>
    <w:rsid w:val="00F00A26"/>
    <w:rsid w:val="00F0179E"/>
    <w:rsid w:val="00F0206D"/>
    <w:rsid w:val="00F0366D"/>
    <w:rsid w:val="00F03AC1"/>
    <w:rsid w:val="00F040DB"/>
    <w:rsid w:val="00F04BE7"/>
    <w:rsid w:val="00F04C23"/>
    <w:rsid w:val="00F05570"/>
    <w:rsid w:val="00F05A2B"/>
    <w:rsid w:val="00F05A7C"/>
    <w:rsid w:val="00F06960"/>
    <w:rsid w:val="00F107DE"/>
    <w:rsid w:val="00F10D3D"/>
    <w:rsid w:val="00F10FEA"/>
    <w:rsid w:val="00F11F0B"/>
    <w:rsid w:val="00F13F10"/>
    <w:rsid w:val="00F1497D"/>
    <w:rsid w:val="00F15477"/>
    <w:rsid w:val="00F1574F"/>
    <w:rsid w:val="00F16766"/>
    <w:rsid w:val="00F16833"/>
    <w:rsid w:val="00F16A2C"/>
    <w:rsid w:val="00F16FF1"/>
    <w:rsid w:val="00F178D9"/>
    <w:rsid w:val="00F20D9D"/>
    <w:rsid w:val="00F21A0D"/>
    <w:rsid w:val="00F222A1"/>
    <w:rsid w:val="00F22BBA"/>
    <w:rsid w:val="00F23EDF"/>
    <w:rsid w:val="00F23F88"/>
    <w:rsid w:val="00F24028"/>
    <w:rsid w:val="00F24657"/>
    <w:rsid w:val="00F269C4"/>
    <w:rsid w:val="00F26A18"/>
    <w:rsid w:val="00F26B78"/>
    <w:rsid w:val="00F27328"/>
    <w:rsid w:val="00F274B3"/>
    <w:rsid w:val="00F27B14"/>
    <w:rsid w:val="00F27E7F"/>
    <w:rsid w:val="00F30F75"/>
    <w:rsid w:val="00F31134"/>
    <w:rsid w:val="00F31CB6"/>
    <w:rsid w:val="00F360B4"/>
    <w:rsid w:val="00F36F3D"/>
    <w:rsid w:val="00F37003"/>
    <w:rsid w:val="00F3770F"/>
    <w:rsid w:val="00F37F77"/>
    <w:rsid w:val="00F40FA6"/>
    <w:rsid w:val="00F422B3"/>
    <w:rsid w:val="00F427C1"/>
    <w:rsid w:val="00F42AD8"/>
    <w:rsid w:val="00F42D9E"/>
    <w:rsid w:val="00F43A9A"/>
    <w:rsid w:val="00F43C0A"/>
    <w:rsid w:val="00F43C5F"/>
    <w:rsid w:val="00F43E0F"/>
    <w:rsid w:val="00F469D7"/>
    <w:rsid w:val="00F470CB"/>
    <w:rsid w:val="00F476C7"/>
    <w:rsid w:val="00F478DC"/>
    <w:rsid w:val="00F5085E"/>
    <w:rsid w:val="00F50894"/>
    <w:rsid w:val="00F51B6E"/>
    <w:rsid w:val="00F51FDB"/>
    <w:rsid w:val="00F523E9"/>
    <w:rsid w:val="00F5270C"/>
    <w:rsid w:val="00F52C0C"/>
    <w:rsid w:val="00F543AE"/>
    <w:rsid w:val="00F54EF1"/>
    <w:rsid w:val="00F60CE7"/>
    <w:rsid w:val="00F613DD"/>
    <w:rsid w:val="00F61559"/>
    <w:rsid w:val="00F62737"/>
    <w:rsid w:val="00F6331D"/>
    <w:rsid w:val="00F638E5"/>
    <w:rsid w:val="00F63A31"/>
    <w:rsid w:val="00F64355"/>
    <w:rsid w:val="00F64C12"/>
    <w:rsid w:val="00F64CA4"/>
    <w:rsid w:val="00F65254"/>
    <w:rsid w:val="00F65D71"/>
    <w:rsid w:val="00F6607F"/>
    <w:rsid w:val="00F66F16"/>
    <w:rsid w:val="00F6723D"/>
    <w:rsid w:val="00F67796"/>
    <w:rsid w:val="00F67CB0"/>
    <w:rsid w:val="00F67DB0"/>
    <w:rsid w:val="00F70F9E"/>
    <w:rsid w:val="00F723E4"/>
    <w:rsid w:val="00F72B20"/>
    <w:rsid w:val="00F72C63"/>
    <w:rsid w:val="00F72CE7"/>
    <w:rsid w:val="00F73409"/>
    <w:rsid w:val="00F74340"/>
    <w:rsid w:val="00F744F7"/>
    <w:rsid w:val="00F74915"/>
    <w:rsid w:val="00F766B2"/>
    <w:rsid w:val="00F769C8"/>
    <w:rsid w:val="00F77F7E"/>
    <w:rsid w:val="00F8013D"/>
    <w:rsid w:val="00F80961"/>
    <w:rsid w:val="00F816FC"/>
    <w:rsid w:val="00F81BA6"/>
    <w:rsid w:val="00F8251C"/>
    <w:rsid w:val="00F82CEB"/>
    <w:rsid w:val="00F83602"/>
    <w:rsid w:val="00F8380A"/>
    <w:rsid w:val="00F83848"/>
    <w:rsid w:val="00F84EF4"/>
    <w:rsid w:val="00F85216"/>
    <w:rsid w:val="00F868A2"/>
    <w:rsid w:val="00F86E86"/>
    <w:rsid w:val="00F90064"/>
    <w:rsid w:val="00F90460"/>
    <w:rsid w:val="00F90F7A"/>
    <w:rsid w:val="00F91442"/>
    <w:rsid w:val="00F917F0"/>
    <w:rsid w:val="00F91CC3"/>
    <w:rsid w:val="00F94EED"/>
    <w:rsid w:val="00F96967"/>
    <w:rsid w:val="00F97243"/>
    <w:rsid w:val="00F97C68"/>
    <w:rsid w:val="00FA0180"/>
    <w:rsid w:val="00FA026A"/>
    <w:rsid w:val="00FA0CDE"/>
    <w:rsid w:val="00FA193A"/>
    <w:rsid w:val="00FA2090"/>
    <w:rsid w:val="00FA2411"/>
    <w:rsid w:val="00FA2912"/>
    <w:rsid w:val="00FA3B61"/>
    <w:rsid w:val="00FA45FE"/>
    <w:rsid w:val="00FA4C21"/>
    <w:rsid w:val="00FA4C91"/>
    <w:rsid w:val="00FA5F38"/>
    <w:rsid w:val="00FA798B"/>
    <w:rsid w:val="00FB02B5"/>
    <w:rsid w:val="00FB0381"/>
    <w:rsid w:val="00FB1828"/>
    <w:rsid w:val="00FB1FD2"/>
    <w:rsid w:val="00FB2F78"/>
    <w:rsid w:val="00FB4196"/>
    <w:rsid w:val="00FB53BE"/>
    <w:rsid w:val="00FB60D0"/>
    <w:rsid w:val="00FB61DF"/>
    <w:rsid w:val="00FB6A07"/>
    <w:rsid w:val="00FB6CC8"/>
    <w:rsid w:val="00FB6E9B"/>
    <w:rsid w:val="00FB74EE"/>
    <w:rsid w:val="00FC000B"/>
    <w:rsid w:val="00FC14B1"/>
    <w:rsid w:val="00FC18C0"/>
    <w:rsid w:val="00FC20F6"/>
    <w:rsid w:val="00FC220C"/>
    <w:rsid w:val="00FC23E8"/>
    <w:rsid w:val="00FC28C4"/>
    <w:rsid w:val="00FC34F0"/>
    <w:rsid w:val="00FC40DD"/>
    <w:rsid w:val="00FC5B98"/>
    <w:rsid w:val="00FC5C99"/>
    <w:rsid w:val="00FC648E"/>
    <w:rsid w:val="00FC68B1"/>
    <w:rsid w:val="00FC6F42"/>
    <w:rsid w:val="00FC742C"/>
    <w:rsid w:val="00FC7BCE"/>
    <w:rsid w:val="00FC7FA9"/>
    <w:rsid w:val="00FC7FB5"/>
    <w:rsid w:val="00FD1C7E"/>
    <w:rsid w:val="00FD2A02"/>
    <w:rsid w:val="00FD2F1F"/>
    <w:rsid w:val="00FD38AD"/>
    <w:rsid w:val="00FD45D5"/>
    <w:rsid w:val="00FD49CB"/>
    <w:rsid w:val="00FD514B"/>
    <w:rsid w:val="00FD556C"/>
    <w:rsid w:val="00FD5F67"/>
    <w:rsid w:val="00FD62C1"/>
    <w:rsid w:val="00FD62E1"/>
    <w:rsid w:val="00FD700B"/>
    <w:rsid w:val="00FD721D"/>
    <w:rsid w:val="00FD7867"/>
    <w:rsid w:val="00FE0083"/>
    <w:rsid w:val="00FE0275"/>
    <w:rsid w:val="00FE07E0"/>
    <w:rsid w:val="00FE19FE"/>
    <w:rsid w:val="00FE42E7"/>
    <w:rsid w:val="00FE4EAD"/>
    <w:rsid w:val="00FE5E2F"/>
    <w:rsid w:val="00FE5E4F"/>
    <w:rsid w:val="00FE6A0E"/>
    <w:rsid w:val="00FE6FE3"/>
    <w:rsid w:val="00FE7CFC"/>
    <w:rsid w:val="00FF006C"/>
    <w:rsid w:val="00FF027A"/>
    <w:rsid w:val="00FF09D1"/>
    <w:rsid w:val="00FF144E"/>
    <w:rsid w:val="00FF1A38"/>
    <w:rsid w:val="00FF21E5"/>
    <w:rsid w:val="00FF466F"/>
    <w:rsid w:val="00FF54BA"/>
    <w:rsid w:val="00FF5CDA"/>
    <w:rsid w:val="00FF6589"/>
    <w:rsid w:val="00FF6625"/>
    <w:rsid w:val="00FF68C7"/>
    <w:rsid w:val="02396613"/>
    <w:rsid w:val="040FE41D"/>
    <w:rsid w:val="0B55DA10"/>
    <w:rsid w:val="0E021521"/>
    <w:rsid w:val="0F2E4EF1"/>
    <w:rsid w:val="1223774E"/>
    <w:rsid w:val="2454D85A"/>
    <w:rsid w:val="27A1F7C0"/>
    <w:rsid w:val="2CB287C6"/>
    <w:rsid w:val="2EFA9608"/>
    <w:rsid w:val="314EE93A"/>
    <w:rsid w:val="344E73EC"/>
    <w:rsid w:val="3BBF2765"/>
    <w:rsid w:val="3DB64CD2"/>
    <w:rsid w:val="3E944825"/>
    <w:rsid w:val="4208131A"/>
    <w:rsid w:val="46D94E6C"/>
    <w:rsid w:val="47190930"/>
    <w:rsid w:val="5849C651"/>
    <w:rsid w:val="5940CC36"/>
    <w:rsid w:val="59D8EAA6"/>
    <w:rsid w:val="5B64F6DE"/>
    <w:rsid w:val="6151A092"/>
    <w:rsid w:val="63A14B37"/>
    <w:rsid w:val="66DA856C"/>
    <w:rsid w:val="72574743"/>
    <w:rsid w:val="7477C471"/>
    <w:rsid w:val="78822950"/>
    <w:rsid w:val="797013B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F9E0A0"/>
  <w15:docId w15:val="{C06FB517-D28F-499C-ACEB-22769DE4F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4"/>
        <w:lang w:val="en-GB"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uiPriority="10"/>
    <w:lsdException w:name="heading 6" w:semiHidden="1" w:uiPriority="10"/>
    <w:lsdException w:name="heading 7" w:semiHidden="1" w:uiPriority="10"/>
    <w:lsdException w:name="heading 8" w:semiHidden="1" w:uiPriority="10"/>
    <w:lsdException w:name="heading 9" w:semiHidden="1" w:uiPriority="10"/>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uiPriority="0"/>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0"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C27"/>
    <w:pPr>
      <w:spacing w:after="120"/>
      <w:jc w:val="both"/>
    </w:pPr>
    <w:rPr>
      <w:rFonts w:eastAsia="Times New Roman"/>
      <w:lang w:eastAsia="fr-BE"/>
    </w:rPr>
  </w:style>
  <w:style w:type="paragraph" w:styleId="Heading1">
    <w:name w:val="heading 1"/>
    <w:basedOn w:val="Normal"/>
    <w:next w:val="Point0number"/>
    <w:link w:val="Heading1Char"/>
    <w:uiPriority w:val="10"/>
    <w:rsid w:val="008E336A"/>
    <w:pPr>
      <w:keepNext/>
      <w:numPr>
        <w:numId w:val="130"/>
      </w:numPr>
      <w:spacing w:before="360"/>
      <w:outlineLvl w:val="0"/>
    </w:pPr>
    <w:rPr>
      <w:b/>
      <w:smallCaps/>
    </w:rPr>
  </w:style>
  <w:style w:type="paragraph" w:styleId="Heading2">
    <w:name w:val="heading 2"/>
    <w:basedOn w:val="Normal"/>
    <w:next w:val="Point0number"/>
    <w:uiPriority w:val="10"/>
    <w:rsid w:val="008E336A"/>
    <w:pPr>
      <w:keepNext/>
      <w:numPr>
        <w:ilvl w:val="1"/>
        <w:numId w:val="130"/>
      </w:numPr>
      <w:spacing w:before="120"/>
      <w:outlineLvl w:val="1"/>
    </w:pPr>
    <w:rPr>
      <w:b/>
    </w:rPr>
  </w:style>
  <w:style w:type="paragraph" w:styleId="Heading3">
    <w:name w:val="heading 3"/>
    <w:basedOn w:val="Normal"/>
    <w:next w:val="Point0number"/>
    <w:link w:val="Heading3Char"/>
    <w:uiPriority w:val="10"/>
    <w:rsid w:val="008E336A"/>
    <w:pPr>
      <w:keepNext/>
      <w:numPr>
        <w:ilvl w:val="2"/>
        <w:numId w:val="130"/>
      </w:numPr>
      <w:tabs>
        <w:tab w:val="clear" w:pos="1133"/>
        <w:tab w:val="num" w:pos="850"/>
      </w:tabs>
      <w:spacing w:before="120"/>
      <w:ind w:left="850"/>
      <w:outlineLvl w:val="2"/>
    </w:pPr>
    <w:rPr>
      <w:i/>
    </w:rPr>
  </w:style>
  <w:style w:type="paragraph" w:styleId="Heading4">
    <w:name w:val="heading 4"/>
    <w:basedOn w:val="Normal"/>
    <w:next w:val="Point0number"/>
    <w:link w:val="Heading4Char"/>
    <w:uiPriority w:val="10"/>
    <w:rsid w:val="008E336A"/>
    <w:pPr>
      <w:keepNext/>
      <w:numPr>
        <w:ilvl w:val="3"/>
        <w:numId w:val="130"/>
      </w:numPr>
      <w:spacing w:before="120"/>
      <w:outlineLvl w:val="3"/>
    </w:pPr>
  </w:style>
  <w:style w:type="paragraph" w:styleId="Heading5">
    <w:name w:val="heading 5"/>
    <w:basedOn w:val="Normal"/>
    <w:next w:val="Point0number"/>
    <w:uiPriority w:val="10"/>
    <w:rsid w:val="008E336A"/>
    <w:pPr>
      <w:keepNext/>
      <w:numPr>
        <w:ilvl w:val="4"/>
        <w:numId w:val="130"/>
      </w:numPr>
      <w:spacing w:before="120"/>
      <w:outlineLvl w:val="4"/>
    </w:pPr>
  </w:style>
  <w:style w:type="paragraph" w:styleId="Heading6">
    <w:name w:val="heading 6"/>
    <w:basedOn w:val="Normal"/>
    <w:next w:val="Point0number"/>
    <w:uiPriority w:val="10"/>
    <w:rsid w:val="008E336A"/>
    <w:pPr>
      <w:keepNext/>
      <w:numPr>
        <w:ilvl w:val="5"/>
        <w:numId w:val="130"/>
      </w:numPr>
      <w:spacing w:before="120"/>
      <w:outlineLvl w:val="5"/>
    </w:pPr>
  </w:style>
  <w:style w:type="paragraph" w:styleId="Heading7">
    <w:name w:val="heading 7"/>
    <w:basedOn w:val="Normal"/>
    <w:next w:val="Point0number"/>
    <w:uiPriority w:val="10"/>
    <w:rsid w:val="008E336A"/>
    <w:pPr>
      <w:keepNext/>
      <w:numPr>
        <w:ilvl w:val="6"/>
        <w:numId w:val="130"/>
      </w:numPr>
      <w:spacing w:before="120"/>
      <w:outlineLvl w:val="6"/>
    </w:pPr>
  </w:style>
  <w:style w:type="paragraph" w:styleId="Heading8">
    <w:name w:val="heading 8"/>
    <w:basedOn w:val="Normal"/>
    <w:next w:val="Point0number"/>
    <w:uiPriority w:val="10"/>
    <w:semiHidden/>
    <w:rsid w:val="008E336A"/>
    <w:pPr>
      <w:numPr>
        <w:ilvl w:val="7"/>
        <w:numId w:val="130"/>
      </w:numPr>
      <w:spacing w:before="120"/>
      <w:outlineLvl w:val="7"/>
    </w:pPr>
  </w:style>
  <w:style w:type="paragraph" w:styleId="Heading9">
    <w:name w:val="heading 9"/>
    <w:basedOn w:val="Normal"/>
    <w:next w:val="Point0number"/>
    <w:uiPriority w:val="10"/>
    <w:semiHidden/>
    <w:rsid w:val="008E336A"/>
    <w:pPr>
      <w:numPr>
        <w:ilvl w:val="8"/>
        <w:numId w:val="130"/>
      </w:numPr>
      <w:spacing w:before="120"/>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sid w:val="008E336A"/>
    <w:rPr>
      <w:color w:val="3366CC"/>
    </w:rPr>
  </w:style>
  <w:style w:type="character" w:customStyle="1" w:styleId="CrossReference">
    <w:name w:val="Cross Reference"/>
    <w:basedOn w:val="DefaultParagraphFont"/>
    <w:semiHidden/>
    <w:rsid w:val="008E336A"/>
  </w:style>
  <w:style w:type="character" w:styleId="FootnoteReference">
    <w:name w:val="footnote reference"/>
    <w:aliases w:val="(NECG) Footnote Reference,fr,o,-E Fußnotenzeichen,Style 3,Appel note de bas de p,Style 17,FR,Style 13,Style 12,Style 124,callout,-E Funotenzeichen,Style 1,Footnote symbol,Voetnootverwijzing,Times 10 Point,Exposant 3 Point,note TESI"/>
    <w:link w:val="FootnotesymbolCarZchn"/>
    <w:uiPriority w:val="99"/>
    <w:qFormat/>
    <w:rsid w:val="008E336A"/>
    <w:rPr>
      <w:vertAlign w:val="superscript"/>
    </w:rPr>
  </w:style>
  <w:style w:type="character" w:customStyle="1" w:styleId="InstructionBlue">
    <w:name w:val="InstructionBlue"/>
    <w:semiHidden/>
    <w:rsid w:val="008E336A"/>
    <w:rPr>
      <w:i/>
      <w:color w:val="3366CC"/>
    </w:rPr>
  </w:style>
  <w:style w:type="character" w:customStyle="1" w:styleId="InstructionPlaceholder">
    <w:name w:val="InstructionPlaceholder"/>
    <w:semiHidden/>
    <w:rsid w:val="008E336A"/>
    <w:rPr>
      <w:color w:val="CB3535"/>
    </w:rPr>
  </w:style>
  <w:style w:type="character" w:customStyle="1" w:styleId="InstructionRed">
    <w:name w:val="InstructionRed"/>
    <w:semiHidden/>
    <w:rsid w:val="008E336A"/>
    <w:rPr>
      <w:i/>
      <w:color w:val="CB3535"/>
    </w:rPr>
  </w:style>
  <w:style w:type="character" w:customStyle="1" w:styleId="MarkingLabel">
    <w:name w:val="MarkingLabel"/>
    <w:semiHidden/>
    <w:rsid w:val="008E336A"/>
    <w:rPr>
      <w:b/>
      <w:caps/>
      <w:sz w:val="28"/>
    </w:rPr>
  </w:style>
  <w:style w:type="character" w:customStyle="1" w:styleId="MarkingText">
    <w:name w:val="MarkingText"/>
    <w:semiHidden/>
    <w:rsid w:val="008E336A"/>
    <w:rPr>
      <w:i/>
      <w:sz w:val="28"/>
    </w:rPr>
  </w:style>
  <w:style w:type="character" w:styleId="PlaceholderText">
    <w:name w:val="Placeholder Text"/>
    <w:basedOn w:val="DefaultParagraphFont"/>
    <w:semiHidden/>
    <w:rsid w:val="008E336A"/>
    <w:rPr>
      <w:color w:val="288061"/>
    </w:rPr>
  </w:style>
  <w:style w:type="paragraph" w:customStyle="1" w:styleId="AfterTable">
    <w:name w:val="After Table"/>
    <w:semiHidden/>
    <w:rsid w:val="008E336A"/>
    <w:pPr>
      <w:jc w:val="both"/>
    </w:pPr>
    <w:rPr>
      <w:rFonts w:eastAsia="Times New Roman"/>
      <w:sz w:val="4"/>
      <w:lang w:eastAsia="fr-BE"/>
    </w:rPr>
  </w:style>
  <w:style w:type="paragraph" w:customStyle="1" w:styleId="AnnexTitle">
    <w:name w:val="AnnexTitle"/>
    <w:basedOn w:val="Normal"/>
    <w:next w:val="Normal"/>
    <w:uiPriority w:val="45"/>
    <w:qFormat/>
    <w:pPr>
      <w:pageBreakBefore/>
      <w:numPr>
        <w:numId w:val="21"/>
      </w:numPr>
      <w:spacing w:after="480"/>
      <w:outlineLvl w:val="0"/>
    </w:pPr>
    <w:rPr>
      <w:b/>
      <w:sz w:val="32"/>
    </w:rPr>
  </w:style>
  <w:style w:type="paragraph" w:styleId="Caption">
    <w:name w:val="caption"/>
    <w:basedOn w:val="Normal"/>
    <w:next w:val="FigureBody"/>
    <w:uiPriority w:val="35"/>
    <w:unhideWhenUsed/>
    <w:qFormat/>
    <w:rsid w:val="008E336A"/>
    <w:pPr>
      <w:keepNext/>
      <w:spacing w:before="120"/>
    </w:pPr>
    <w:rPr>
      <w:b/>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rsid w:val="008E336A"/>
    <w:pPr>
      <w:spacing w:after="0"/>
      <w:jc w:val="center"/>
    </w:pPr>
    <w:rPr>
      <w:b/>
      <w:caps/>
      <w:sz w:val="32"/>
      <w:bdr w:val="single" w:sz="18" w:space="0" w:color="auto"/>
    </w:rPr>
  </w:style>
  <w:style w:type="paragraph" w:customStyle="1" w:styleId="Contact">
    <w:name w:val="Contact"/>
    <w:basedOn w:val="Normal"/>
    <w:semiHidden/>
    <w:rsid w:val="008E336A"/>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styleId="Date">
    <w:name w:val="Date"/>
    <w:basedOn w:val="Normal"/>
    <w:next w:val="References"/>
    <w:semiHidden/>
    <w:rsid w:val="008E336A"/>
    <w:pPr>
      <w:spacing w:after="0"/>
      <w:ind w:left="5102" w:right="-567"/>
      <w:jc w:val="left"/>
    </w:pPr>
  </w:style>
  <w:style w:type="paragraph" w:customStyle="1" w:styleId="Designator">
    <w:name w:val="Designator"/>
    <w:basedOn w:val="Normal"/>
    <w:semiHidden/>
    <w:rsid w:val="008E336A"/>
    <w:pPr>
      <w:spacing w:after="0"/>
      <w:jc w:val="center"/>
    </w:pPr>
    <w:rPr>
      <w:b/>
      <w:caps/>
      <w:sz w:val="32"/>
    </w:rPr>
  </w:style>
  <w:style w:type="paragraph" w:customStyle="1" w:styleId="DoubSign">
    <w:name w:val="DoubSign"/>
    <w:basedOn w:val="Normal"/>
    <w:semiHidden/>
    <w:rsid w:val="008E336A"/>
    <w:pPr>
      <w:spacing w:before="600" w:after="0"/>
      <w:jc w:val="left"/>
    </w:pPr>
  </w:style>
  <w:style w:type="paragraph" w:customStyle="1" w:styleId="EmptyParagraph">
    <w:name w:val="Empty Paragraph"/>
    <w:basedOn w:val="Normal"/>
    <w:next w:val="Normal"/>
    <w:semiHidden/>
    <w:rsid w:val="008E336A"/>
    <w:pPr>
      <w:spacing w:before="240"/>
    </w:pPr>
  </w:style>
  <w:style w:type="paragraph" w:styleId="EndnoteText">
    <w:name w:val="endnote text"/>
    <w:basedOn w:val="Normal"/>
    <w:semiHidden/>
    <w:rsid w:val="008E336A"/>
    <w:pPr>
      <w:spacing w:after="0"/>
    </w:pPr>
    <w:rPr>
      <w:sz w:val="20"/>
    </w:rPr>
  </w:style>
  <w:style w:type="paragraph" w:customStyle="1" w:styleId="FigureBody">
    <w:name w:val="Figure Body"/>
    <w:basedOn w:val="Normal"/>
    <w:next w:val="Normal"/>
    <w:uiPriority w:val="99"/>
    <w:semiHidden/>
    <w:unhideWhenUsed/>
    <w:rsid w:val="008E336A"/>
    <w:pPr>
      <w:keepNext/>
      <w:spacing w:before="12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32"/>
    <w:unhideWhenUsed/>
    <w:qFormat/>
    <w:pPr>
      <w:keepNext/>
    </w:pPr>
    <w:rPr>
      <w:b/>
      <w:i/>
    </w:rPr>
  </w:style>
  <w:style w:type="paragraph" w:customStyle="1" w:styleId="FigureTitle1">
    <w:name w:val="Figure Title 1"/>
    <w:basedOn w:val="Text1"/>
    <w:next w:val="FigureBody1"/>
    <w:uiPriority w:val="99"/>
    <w:semiHidden/>
    <w:unhideWhenUsed/>
    <w:pPr>
      <w:keepNext/>
    </w:pPr>
    <w:rPr>
      <w:b/>
      <w:i/>
    </w:rPr>
  </w:style>
  <w:style w:type="paragraph" w:customStyle="1" w:styleId="FigureTitle2">
    <w:name w:val="Figure Title 2"/>
    <w:basedOn w:val="Text2"/>
    <w:next w:val="FigureBody2"/>
    <w:uiPriority w:val="99"/>
    <w:semiHidden/>
    <w:unhideWhenUsed/>
    <w:pPr>
      <w:keepNext/>
    </w:pPr>
    <w:rPr>
      <w:b/>
      <w:i/>
    </w:rPr>
  </w:style>
  <w:style w:type="paragraph" w:customStyle="1" w:styleId="FigureTitle3">
    <w:name w:val="Figure Title 3"/>
    <w:basedOn w:val="Text3"/>
    <w:next w:val="FigureBody3"/>
    <w:uiPriority w:val="99"/>
    <w:semiHidden/>
    <w:unhideWhenUsed/>
    <w:pPr>
      <w:keepNext/>
    </w:pPr>
    <w:rPr>
      <w:b/>
      <w:i/>
    </w:rPr>
  </w:style>
  <w:style w:type="paragraph" w:customStyle="1" w:styleId="FigureTitle4">
    <w:name w:val="Figure Title 4"/>
    <w:basedOn w:val="Text4"/>
    <w:next w:val="FigureBody4"/>
    <w:uiPriority w:val="99"/>
    <w:semiHidden/>
    <w:unhideWhenUsed/>
    <w:pPr>
      <w:keepNext/>
    </w:pPr>
    <w:rPr>
      <w:b/>
      <w:i/>
    </w:rPr>
  </w:style>
  <w:style w:type="paragraph" w:styleId="Footer">
    <w:name w:val="footer"/>
    <w:basedOn w:val="Normal"/>
    <w:semiHidden/>
    <w:rsid w:val="008E336A"/>
    <w:pPr>
      <w:spacing w:after="0"/>
      <w:ind w:right="-567"/>
      <w:jc w:val="left"/>
    </w:pPr>
    <w:rPr>
      <w:sz w:val="16"/>
    </w:rPr>
  </w:style>
  <w:style w:type="paragraph" w:customStyle="1" w:styleId="FooterLine">
    <w:name w:val="Footer Line"/>
    <w:basedOn w:val="Footer"/>
    <w:next w:val="Footer"/>
    <w:semiHidden/>
    <w:rsid w:val="008E336A"/>
    <w:pPr>
      <w:tabs>
        <w:tab w:val="right" w:pos="8646"/>
      </w:tabs>
      <w:spacing w:before="120"/>
      <w:ind w:right="0"/>
    </w:pPr>
  </w:style>
  <w:style w:type="paragraph" w:styleId="FootnoteText">
    <w:name w:val="footnote text"/>
    <w:aliases w:val="fn,Footnote Text Char Car,ALTS FOOTNOTE,Mod-Footnote Text,ALTS FOOTNOTE Char,Footnote Text Char1 Char,Footnote Text Char Char1 Char,ft Char Char Char,Footnote Text Char3 Char Char Char,Texto nota pie Car,Car,Footnote Text Char2,Fußnotentex"/>
    <w:basedOn w:val="Normal"/>
    <w:link w:val="FootnoteTextChar"/>
    <w:uiPriority w:val="99"/>
    <w:rsid w:val="008E336A"/>
    <w:pPr>
      <w:spacing w:after="0"/>
      <w:ind w:left="720" w:hanging="720"/>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35"/>
    <w:pPr>
      <w:numPr>
        <w:numId w:val="17"/>
      </w:numPr>
    </w:pPr>
  </w:style>
  <w:style w:type="paragraph" w:customStyle="1" w:styleId="ListBulletLevel2">
    <w:name w:val="List Bullet (Level 2)"/>
    <w:basedOn w:val="Normal"/>
    <w:uiPriority w:val="35"/>
    <w:semiHidden/>
    <w:unhideWhenUsed/>
    <w:pPr>
      <w:numPr>
        <w:ilvl w:val="1"/>
        <w:numId w:val="17"/>
      </w:numPr>
    </w:pPr>
  </w:style>
  <w:style w:type="paragraph" w:customStyle="1" w:styleId="ListBulletLevel3">
    <w:name w:val="List Bullet (Level 3)"/>
    <w:basedOn w:val="Normal"/>
    <w:uiPriority w:val="35"/>
    <w:semiHidden/>
    <w:unhideWhenUsed/>
    <w:pPr>
      <w:numPr>
        <w:ilvl w:val="2"/>
        <w:numId w:val="17"/>
      </w:numPr>
    </w:pPr>
  </w:style>
  <w:style w:type="paragraph" w:customStyle="1" w:styleId="ListBulletLevel4">
    <w:name w:val="List Bullet (Level 4)"/>
    <w:basedOn w:val="Normal"/>
    <w:uiPriority w:val="35"/>
    <w:semiHidden/>
    <w:unhideWhenUsed/>
    <w:pPr>
      <w:numPr>
        <w:ilvl w:val="3"/>
        <w:numId w:val="17"/>
      </w:numPr>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30"/>
    <w:pPr>
      <w:numPr>
        <w:numId w:val="12"/>
      </w:numPr>
    </w:pPr>
  </w:style>
  <w:style w:type="paragraph" w:customStyle="1" w:styleId="ListNumberLevel2">
    <w:name w:val="List Number (Level 2)"/>
    <w:basedOn w:val="Normal"/>
    <w:uiPriority w:val="30"/>
    <w:pPr>
      <w:numPr>
        <w:ilvl w:val="1"/>
        <w:numId w:val="12"/>
      </w:numPr>
    </w:pPr>
  </w:style>
  <w:style w:type="paragraph" w:customStyle="1" w:styleId="ListNumberLevel3">
    <w:name w:val="List Number (Level 3)"/>
    <w:basedOn w:val="Normal"/>
    <w:uiPriority w:val="30"/>
    <w:pPr>
      <w:numPr>
        <w:ilvl w:val="2"/>
        <w:numId w:val="12"/>
      </w:numPr>
    </w:pPr>
  </w:style>
  <w:style w:type="paragraph" w:customStyle="1" w:styleId="ListNumberLevel4">
    <w:name w:val="List Number (Level 4)"/>
    <w:basedOn w:val="Normal"/>
    <w:uiPriority w:val="30"/>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8E336A"/>
    <w:pPr>
      <w:ind w:left="5102" w:right="-680"/>
      <w:contextualSpacing/>
      <w:jc w:val="left"/>
    </w:pPr>
    <w:rPr>
      <w:sz w:val="28"/>
      <w:lang w:val="fr-BE"/>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rsid w:val="008E336A"/>
    <w:pPr>
      <w:spacing w:after="240"/>
      <w:ind w:left="5102" w:right="-567"/>
      <w:contextualSpacing/>
      <w:jc w:val="left"/>
    </w:pPr>
    <w:rPr>
      <w:sz w:val="20"/>
    </w:rPr>
  </w:style>
  <w:style w:type="paragraph" w:customStyle="1" w:styleId="Releasable">
    <w:name w:val="Releasable"/>
    <w:basedOn w:val="Normal"/>
    <w:semiHidden/>
    <w:rsid w:val="008E336A"/>
    <w:pPr>
      <w:spacing w:after="0"/>
      <w:jc w:val="center"/>
    </w:pPr>
    <w:rPr>
      <w:b/>
      <w:caps/>
      <w:sz w:val="32"/>
    </w:rPr>
  </w:style>
  <w:style w:type="paragraph" w:customStyle="1" w:styleId="RUE">
    <w:name w:val="RUE"/>
    <w:basedOn w:val="Normal"/>
    <w:semiHidden/>
    <w:rsid w:val="008E336A"/>
    <w:pPr>
      <w:spacing w:after="0"/>
      <w:jc w:val="center"/>
    </w:pPr>
    <w:rPr>
      <w:b/>
      <w:caps/>
      <w:sz w:val="32"/>
      <w:bdr w:val="single" w:sz="18" w:space="0" w:color="auto"/>
    </w:rPr>
  </w:style>
  <w:style w:type="paragraph" w:customStyle="1" w:styleId="SecretUE">
    <w:name w:val="Secret UE"/>
    <w:basedOn w:val="Normal"/>
    <w:semiHidden/>
    <w:rsid w:val="008E336A"/>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rsid w:val="008E336A"/>
    <w:pPr>
      <w:keepLines/>
      <w:spacing w:before="600" w:after="0"/>
      <w:ind w:left="5102"/>
      <w:jc w:val="left"/>
    </w:pPr>
  </w:style>
  <w:style w:type="paragraph" w:customStyle="1" w:styleId="SignatureL">
    <w:name w:val="SignatureL"/>
    <w:basedOn w:val="Normal"/>
    <w:semiHidden/>
    <w:rsid w:val="008E336A"/>
    <w:pPr>
      <w:keepLines/>
      <w:spacing w:before="6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rsid w:val="008E336A"/>
    <w:pPr>
      <w:numPr>
        <w:numId w:val="143"/>
      </w:numPr>
    </w:pPr>
  </w:style>
  <w:style w:type="paragraph" w:customStyle="1" w:styleId="TableListBulletLevel2">
    <w:name w:val="Table List Bullet (Level 2)"/>
    <w:basedOn w:val="TableText"/>
    <w:semiHidden/>
    <w:unhideWhenUsed/>
    <w:rsid w:val="008E336A"/>
    <w:pPr>
      <w:numPr>
        <w:ilvl w:val="1"/>
        <w:numId w:val="143"/>
      </w:numPr>
    </w:pPr>
  </w:style>
  <w:style w:type="paragraph" w:customStyle="1" w:styleId="TableListBulletLevel3">
    <w:name w:val="Table List Bullet (Level 3)"/>
    <w:basedOn w:val="TableText"/>
    <w:semiHidden/>
    <w:unhideWhenUsed/>
    <w:rsid w:val="008E336A"/>
    <w:pPr>
      <w:numPr>
        <w:ilvl w:val="2"/>
        <w:numId w:val="143"/>
      </w:numPr>
    </w:pPr>
  </w:style>
  <w:style w:type="paragraph" w:customStyle="1" w:styleId="TableListBulletLevel4">
    <w:name w:val="Table List Bullet (Level 4)"/>
    <w:basedOn w:val="TableText"/>
    <w:semiHidden/>
    <w:unhideWhenUsed/>
    <w:rsid w:val="008E336A"/>
    <w:pPr>
      <w:numPr>
        <w:ilvl w:val="3"/>
        <w:numId w:val="143"/>
      </w:numPr>
    </w:pPr>
  </w:style>
  <w:style w:type="paragraph" w:customStyle="1" w:styleId="TableListDash">
    <w:name w:val="Table List Dash"/>
    <w:basedOn w:val="TableText"/>
    <w:uiPriority w:val="55"/>
    <w:rsid w:val="008E336A"/>
    <w:pPr>
      <w:numPr>
        <w:numId w:val="147"/>
      </w:numPr>
    </w:pPr>
  </w:style>
  <w:style w:type="paragraph" w:customStyle="1" w:styleId="TableListDashLevel2">
    <w:name w:val="Table List Dash (Level 2)"/>
    <w:basedOn w:val="TableText"/>
    <w:semiHidden/>
    <w:unhideWhenUsed/>
    <w:rsid w:val="008E336A"/>
    <w:pPr>
      <w:numPr>
        <w:ilvl w:val="1"/>
        <w:numId w:val="147"/>
      </w:numPr>
    </w:pPr>
  </w:style>
  <w:style w:type="paragraph" w:customStyle="1" w:styleId="TableListDashLevel3">
    <w:name w:val="Table List Dash (Level 3)"/>
    <w:basedOn w:val="TableText"/>
    <w:semiHidden/>
    <w:unhideWhenUsed/>
    <w:rsid w:val="008E336A"/>
    <w:pPr>
      <w:numPr>
        <w:ilvl w:val="2"/>
        <w:numId w:val="147"/>
      </w:numPr>
    </w:pPr>
  </w:style>
  <w:style w:type="paragraph" w:customStyle="1" w:styleId="TableListDashLevel4">
    <w:name w:val="Table List Dash (Level 4)"/>
    <w:basedOn w:val="TableText"/>
    <w:semiHidden/>
    <w:unhideWhenUsed/>
    <w:rsid w:val="008E336A"/>
    <w:pPr>
      <w:numPr>
        <w:ilvl w:val="3"/>
        <w:numId w:val="147"/>
      </w:numPr>
    </w:pPr>
  </w:style>
  <w:style w:type="paragraph" w:customStyle="1" w:styleId="TableListNumber">
    <w:name w:val="Table List Number"/>
    <w:basedOn w:val="TableText"/>
    <w:uiPriority w:val="55"/>
    <w:rsid w:val="008E336A"/>
    <w:pPr>
      <w:numPr>
        <w:numId w:val="151"/>
      </w:numPr>
    </w:pPr>
  </w:style>
  <w:style w:type="paragraph" w:customStyle="1" w:styleId="TableListNumberLevel2">
    <w:name w:val="Table List Number (Level 2)"/>
    <w:basedOn w:val="TableText"/>
    <w:semiHidden/>
    <w:unhideWhenUsed/>
    <w:rsid w:val="008E336A"/>
    <w:pPr>
      <w:numPr>
        <w:ilvl w:val="1"/>
        <w:numId w:val="151"/>
      </w:numPr>
    </w:pPr>
  </w:style>
  <w:style w:type="paragraph" w:customStyle="1" w:styleId="TableListNumberLevel3">
    <w:name w:val="Table List Number (Level 3)"/>
    <w:basedOn w:val="TableText"/>
    <w:semiHidden/>
    <w:unhideWhenUsed/>
    <w:rsid w:val="008E336A"/>
    <w:pPr>
      <w:numPr>
        <w:ilvl w:val="2"/>
        <w:numId w:val="151"/>
      </w:numPr>
    </w:pPr>
  </w:style>
  <w:style w:type="paragraph" w:customStyle="1" w:styleId="TableListNumberLevel4">
    <w:name w:val="Table List Number (Level 4)"/>
    <w:basedOn w:val="TableText"/>
    <w:semiHidden/>
    <w:unhideWhenUsed/>
    <w:rsid w:val="008E336A"/>
    <w:pPr>
      <w:numPr>
        <w:ilvl w:val="3"/>
        <w:numId w:val="151"/>
      </w:numPr>
    </w:pPr>
  </w:style>
  <w:style w:type="paragraph" w:customStyle="1" w:styleId="TableSource">
    <w:name w:val="Table Source"/>
    <w:basedOn w:val="Normal"/>
    <w:next w:val="Normal"/>
    <w:uiPriority w:val="36"/>
    <w:unhideWhenUsed/>
    <w:qFormat/>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rsid w:val="008E336A"/>
    <w:pPr>
      <w:spacing w:before="60" w:after="60"/>
      <w:jc w:val="left"/>
    </w:pPr>
  </w:style>
  <w:style w:type="paragraph" w:customStyle="1" w:styleId="TableTitle">
    <w:name w:val="Table Title"/>
    <w:basedOn w:val="Normal"/>
    <w:uiPriority w:val="99"/>
    <w:unhideWhenUsed/>
    <w:rsid w:val="008E336A"/>
    <w:pPr>
      <w:keepNext/>
      <w:spacing w:before="120"/>
    </w:pPr>
    <w:rPr>
      <w:b/>
    </w:rPr>
  </w:style>
  <w:style w:type="paragraph" w:customStyle="1" w:styleId="TableTitle1">
    <w:name w:val="Table Title 1"/>
    <w:basedOn w:val="Text1"/>
    <w:uiPriority w:val="99"/>
    <w:semiHidden/>
    <w:unhideWhenUsed/>
    <w:pPr>
      <w:keepNext/>
    </w:pPr>
    <w:rPr>
      <w:b/>
      <w:i/>
    </w:rPr>
  </w:style>
  <w:style w:type="paragraph" w:customStyle="1" w:styleId="TableTitle2">
    <w:name w:val="Table Title 2"/>
    <w:basedOn w:val="Text2"/>
    <w:uiPriority w:val="99"/>
    <w:semiHidden/>
    <w:unhideWhenUsed/>
    <w:pPr>
      <w:keepNext/>
    </w:pPr>
    <w:rPr>
      <w:b/>
      <w:i/>
    </w:rPr>
  </w:style>
  <w:style w:type="paragraph" w:customStyle="1" w:styleId="TableTitle3">
    <w:name w:val="Table Title 3"/>
    <w:basedOn w:val="Text3"/>
    <w:uiPriority w:val="99"/>
    <w:semiHidden/>
    <w:unhideWhenUsed/>
    <w:pPr>
      <w:keepNext/>
    </w:pPr>
    <w:rPr>
      <w:b/>
      <w:i/>
    </w:rPr>
  </w:style>
  <w:style w:type="paragraph" w:customStyle="1" w:styleId="TableTitle4">
    <w:name w:val="Table Title 4"/>
    <w:basedOn w:val="Text4"/>
    <w:uiPriority w:val="99"/>
    <w:semiHidden/>
    <w:unhideWhenUsed/>
    <w:pPr>
      <w:keepNext/>
    </w:pPr>
    <w:rPr>
      <w:b/>
      <w:i/>
    </w:rPr>
  </w:style>
  <w:style w:type="paragraph" w:customStyle="1" w:styleId="Text1">
    <w:name w:val="Text 1"/>
    <w:basedOn w:val="Normal"/>
    <w:qFormat/>
    <w:rsid w:val="008E336A"/>
    <w:pPr>
      <w:ind w:left="850"/>
    </w:pPr>
  </w:style>
  <w:style w:type="paragraph" w:customStyle="1" w:styleId="Text2">
    <w:name w:val="Text 2"/>
    <w:basedOn w:val="Normal"/>
    <w:qFormat/>
    <w:rsid w:val="008E336A"/>
    <w:pPr>
      <w:ind w:left="1417"/>
    </w:pPr>
  </w:style>
  <w:style w:type="paragraph" w:customStyle="1" w:styleId="Text3">
    <w:name w:val="Text 3"/>
    <w:basedOn w:val="Normal"/>
    <w:qFormat/>
    <w:rsid w:val="008E336A"/>
    <w:pPr>
      <w:ind w:left="1984"/>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uiPriority w:val="39"/>
    <w:rsid w:val="008E336A"/>
    <w:pPr>
      <w:tabs>
        <w:tab w:val="right" w:leader="dot" w:pos="8640"/>
      </w:tabs>
      <w:spacing w:before="120"/>
      <w:ind w:left="482" w:right="720" w:hanging="482"/>
    </w:pPr>
  </w:style>
  <w:style w:type="paragraph" w:styleId="TOC2">
    <w:name w:val="toc 2"/>
    <w:basedOn w:val="Normal"/>
    <w:next w:val="Normal"/>
    <w:uiPriority w:val="39"/>
    <w:rsid w:val="008E336A"/>
    <w:pPr>
      <w:tabs>
        <w:tab w:val="right" w:leader="dot" w:pos="8640"/>
      </w:tabs>
      <w:spacing w:before="60" w:after="60"/>
      <w:ind w:left="1077" w:right="720" w:hanging="595"/>
    </w:pPr>
    <w:rPr>
      <w:noProof/>
    </w:rPr>
  </w:style>
  <w:style w:type="paragraph" w:styleId="TOC3">
    <w:name w:val="toc 3"/>
    <w:basedOn w:val="Normal"/>
    <w:next w:val="Normal"/>
    <w:uiPriority w:val="39"/>
    <w:rsid w:val="008E336A"/>
    <w:pPr>
      <w:tabs>
        <w:tab w:val="right" w:leader="dot" w:pos="8640"/>
      </w:tabs>
      <w:spacing w:before="60" w:after="60"/>
      <w:ind w:left="1916" w:right="720" w:hanging="839"/>
    </w:pPr>
  </w:style>
  <w:style w:type="paragraph" w:styleId="TOC4">
    <w:name w:val="toc 4"/>
    <w:basedOn w:val="Normal"/>
    <w:next w:val="Normal"/>
    <w:uiPriority w:val="39"/>
    <w:rsid w:val="008E336A"/>
    <w:pPr>
      <w:tabs>
        <w:tab w:val="right" w:leader="dot" w:pos="8640"/>
      </w:tabs>
      <w:spacing w:before="60" w:after="60"/>
      <w:ind w:left="2880" w:right="720" w:hanging="964"/>
    </w:pPr>
    <w:rPr>
      <w:noProof/>
    </w:rPr>
  </w:style>
  <w:style w:type="paragraph" w:styleId="TOC5">
    <w:name w:val="toc 5"/>
    <w:basedOn w:val="Normal"/>
    <w:next w:val="Normal"/>
    <w:uiPriority w:val="39"/>
    <w:rsid w:val="008E336A"/>
    <w:pPr>
      <w:tabs>
        <w:tab w:val="right" w:leader="dot" w:pos="8640"/>
      </w:tabs>
      <w:spacing w:before="240"/>
      <w:ind w:right="720"/>
    </w:pPr>
    <w:rPr>
      <w:caps/>
    </w:rPr>
  </w:style>
  <w:style w:type="paragraph" w:styleId="TOC6">
    <w:name w:val="toc 6"/>
    <w:basedOn w:val="Normal"/>
    <w:next w:val="Normal"/>
    <w:uiPriority w:val="39"/>
    <w:rsid w:val="008E336A"/>
    <w:pPr>
      <w:tabs>
        <w:tab w:val="right" w:leader="dot" w:pos="8640"/>
        <w:tab w:val="left" w:pos="2880"/>
      </w:tabs>
      <w:spacing w:before="120"/>
      <w:ind w:left="1916" w:right="720" w:hanging="1916"/>
    </w:pPr>
    <w:rPr>
      <w:caps/>
    </w:rPr>
  </w:style>
  <w:style w:type="paragraph" w:styleId="TOC7">
    <w:name w:val="toc 7"/>
    <w:basedOn w:val="Normal"/>
    <w:next w:val="Normal"/>
    <w:uiPriority w:val="39"/>
    <w:rsid w:val="008E336A"/>
    <w:pPr>
      <w:tabs>
        <w:tab w:val="left" w:pos="3685"/>
      </w:tabs>
      <w:spacing w:after="0"/>
      <w:ind w:left="2880" w:hanging="1349"/>
    </w:pPr>
  </w:style>
  <w:style w:type="paragraph" w:styleId="TOC8">
    <w:name w:val="toc 8"/>
    <w:basedOn w:val="Normal"/>
    <w:next w:val="Normal"/>
    <w:uiPriority w:val="39"/>
    <w:rsid w:val="008E336A"/>
    <w:pPr>
      <w:tabs>
        <w:tab w:val="right" w:leader="dot" w:pos="8640"/>
      </w:tabs>
    </w:pPr>
  </w:style>
  <w:style w:type="paragraph" w:styleId="TOC9">
    <w:name w:val="toc 9"/>
    <w:basedOn w:val="Normal"/>
    <w:next w:val="Normal"/>
    <w:uiPriority w:val="39"/>
    <w:rsid w:val="008E336A"/>
    <w:pPr>
      <w:tabs>
        <w:tab w:val="right" w:leader="dot" w:pos="8640"/>
      </w:tabs>
    </w:pPr>
  </w:style>
  <w:style w:type="paragraph" w:styleId="TOCHeading">
    <w:name w:val="TOC Heading"/>
    <w:basedOn w:val="Normal"/>
    <w:next w:val="Normal"/>
    <w:uiPriority w:val="39"/>
    <w:qFormat/>
    <w:rsid w:val="008E336A"/>
    <w:pPr>
      <w:spacing w:before="240" w:after="240"/>
      <w:jc w:val="center"/>
    </w:pPr>
    <w:rPr>
      <w:rFonts w:ascii="Times New Roman Bold" w:hAnsi="Times New Roman Bold"/>
      <w:b/>
      <w:caps/>
    </w:rPr>
  </w:style>
  <w:style w:type="paragraph" w:customStyle="1" w:styleId="TrsSecretUE">
    <w:name w:val="Très Secret UE"/>
    <w:basedOn w:val="Normal"/>
    <w:semiHidden/>
    <w:rsid w:val="008E336A"/>
    <w:pPr>
      <w:spacing w:after="0"/>
      <w:jc w:val="center"/>
    </w:pPr>
    <w:rPr>
      <w:b/>
      <w:caps/>
      <w:color w:val="FF0000"/>
      <w:sz w:val="32"/>
      <w:bdr w:val="single" w:sz="18" w:space="0" w:color="FF0000"/>
    </w:rPr>
  </w:style>
  <w:style w:type="paragraph" w:customStyle="1" w:styleId="ZCom">
    <w:name w:val="Z_Com"/>
    <w:basedOn w:val="Normal"/>
    <w:next w:val="ZDGName"/>
    <w:semiHidden/>
    <w:rsid w:val="008E336A"/>
    <w:pPr>
      <w:widowControl w:val="0"/>
      <w:spacing w:before="90" w:after="0"/>
      <w:ind w:right="85"/>
      <w:jc w:val="left"/>
    </w:pPr>
  </w:style>
  <w:style w:type="paragraph" w:customStyle="1" w:styleId="ZDGName">
    <w:name w:val="Z_DGName"/>
    <w:basedOn w:val="Normal"/>
    <w:semiHidden/>
    <w:rsid w:val="008E336A"/>
    <w:pPr>
      <w:widowControl w:val="0"/>
      <w:spacing w:after="0"/>
      <w:ind w:right="85"/>
      <w:jc w:val="left"/>
    </w:pPr>
    <w:rPr>
      <w:sz w:val="16"/>
    </w:rPr>
  </w:style>
  <w:style w:type="paragraph" w:customStyle="1" w:styleId="ZFlag">
    <w:name w:val="Z_Flag"/>
    <w:basedOn w:val="Normal"/>
    <w:next w:val="Normal"/>
    <w:semiHidden/>
    <w:rsid w:val="008E336A"/>
    <w:pPr>
      <w:widowControl w:val="0"/>
      <w:spacing w:after="0"/>
      <w:ind w:right="85"/>
    </w:pPr>
  </w:style>
  <w:style w:type="paragraph" w:styleId="Header">
    <w:name w:val="header"/>
    <w:basedOn w:val="Normal"/>
    <w:link w:val="HeaderChar"/>
    <w:semiHidden/>
    <w:rsid w:val="008E336A"/>
    <w:pPr>
      <w:tabs>
        <w:tab w:val="center" w:pos="4150"/>
        <w:tab w:val="right" w:pos="8306"/>
      </w:tabs>
      <w:spacing w:after="0"/>
    </w:pPr>
  </w:style>
  <w:style w:type="character" w:customStyle="1" w:styleId="HeaderChar">
    <w:name w:val="Header Char"/>
    <w:basedOn w:val="DefaultParagraphFont"/>
    <w:link w:val="Header"/>
    <w:semiHidden/>
    <w:rsid w:val="008E336A"/>
    <w:rPr>
      <w:rFonts w:eastAsia="Times New Roman"/>
      <w:lang w:eastAsia="fr-BE"/>
    </w:rPr>
  </w:style>
  <w:style w:type="table" w:customStyle="1" w:styleId="EurolookClassicBlue">
    <w:name w:val="Eurolook Classic Blue"/>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rsid w:val="008E336A"/>
    <w:pPr>
      <w:spacing w:after="120"/>
      <w:jc w:val="both"/>
    </w:pPr>
    <w:rPr>
      <w:rFonts w:eastAsia="Times New Roman"/>
      <w:sz w:val="20"/>
      <w:lang w:val="en-IE" w:eastAsia="fr-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rsid w:val="008E336A"/>
    <w:pPr>
      <w:jc w:val="both"/>
    </w:pPr>
    <w:rPr>
      <w:rFonts w:eastAsia="Times New Roman"/>
      <w:lang w:eastAsia="fr-BE"/>
    </w:rPr>
    <w:tblPr>
      <w:tblInd w:w="0" w:type="dxa"/>
      <w:tblCellMar>
        <w:top w:w="0" w:type="dxa"/>
        <w:left w:w="0" w:type="dxa"/>
        <w:bottom w:w="0" w:type="dxa"/>
        <w:right w:w="0" w:type="dxa"/>
      </w:tblCellMar>
    </w:tblPr>
  </w:style>
  <w:style w:type="table" w:customStyle="1" w:styleId="SignatureTable">
    <w:name w:val="Signature Table"/>
    <w:basedOn w:val="HelperTableBase"/>
    <w:semiHidden/>
    <w:rsid w:val="008E336A"/>
    <w:tblPr/>
  </w:style>
  <w:style w:type="table" w:styleId="TableGrid">
    <w:name w:val="Table Grid"/>
    <w:uiPriority w:val="59"/>
    <w:rsid w:val="008E336A"/>
    <w:pPr>
      <w:spacing w:after="120"/>
      <w:jc w:val="both"/>
    </w:pPr>
    <w:rPr>
      <w:rFonts w:eastAsia="Times New Roman"/>
      <w:lang w:eastAsia="fr-B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rsid w:val="008E336A"/>
    <w:pPr>
      <w:spacing w:after="120"/>
      <w:jc w:val="both"/>
    </w:pPr>
    <w:rPr>
      <w:rFonts w:eastAsia="Times New Roman"/>
      <w:lang w:eastAsia="fr-BE"/>
    </w:rPr>
    <w:tblPr>
      <w:tblCellMar>
        <w:left w:w="0" w:type="dxa"/>
        <w:bottom w:w="340" w:type="dxa"/>
        <w:right w:w="0" w:type="dxa"/>
      </w:tblCellMar>
    </w:tblPr>
  </w:style>
  <w:style w:type="paragraph" w:customStyle="1" w:styleId="Typedudocument">
    <w:name w:val="Type du document"/>
    <w:basedOn w:val="Normal"/>
    <w:next w:val="Normal"/>
    <w:rsid w:val="00B11396"/>
    <w:pPr>
      <w:spacing w:before="360" w:after="0"/>
      <w:jc w:val="center"/>
    </w:pPr>
    <w:rPr>
      <w:rFonts w:eastAsiaTheme="minorHAnsi"/>
      <w:b/>
      <w:szCs w:val="22"/>
      <w:lang w:eastAsia="en-US"/>
    </w:rPr>
  </w:style>
  <w:style w:type="paragraph" w:customStyle="1" w:styleId="Titreobjet">
    <w:name w:val="Titre objet"/>
    <w:basedOn w:val="Normal"/>
    <w:next w:val="Normal"/>
    <w:rsid w:val="00B11396"/>
    <w:pPr>
      <w:spacing w:before="360" w:after="360"/>
      <w:jc w:val="center"/>
    </w:pPr>
    <w:rPr>
      <w:rFonts w:eastAsiaTheme="minorHAnsi"/>
      <w:b/>
      <w:szCs w:val="22"/>
      <w:lang w:eastAsia="en-US"/>
    </w:rPr>
  </w:style>
  <w:style w:type="paragraph" w:styleId="ListParagraph">
    <w:name w:val="List Paragraph"/>
    <w:aliases w:val="Fiche List Paragraph,Normal bullet 2,Bullet list,List Paragraph1,Numbered List,1st level - Bullet List Paragraph,Lettre d'introduction,Paragrafo elenco,List Paragraph11,Normal bullet 21,List Paragraph111,Bullet list1,Dot pt,L,Task Body,EC"/>
    <w:basedOn w:val="Normal"/>
    <w:link w:val="ListParagraphChar"/>
    <w:qFormat/>
    <w:rsid w:val="00B11396"/>
    <w:pPr>
      <w:ind w:left="720"/>
      <w:contextualSpacing/>
    </w:pPr>
  </w:style>
  <w:style w:type="character" w:styleId="CommentReference">
    <w:name w:val="annotation reference"/>
    <w:basedOn w:val="DefaultParagraphFont"/>
    <w:uiPriority w:val="99"/>
    <w:semiHidden/>
    <w:rsid w:val="00701433"/>
    <w:rPr>
      <w:sz w:val="16"/>
      <w:szCs w:val="16"/>
    </w:rPr>
  </w:style>
  <w:style w:type="paragraph" w:styleId="CommentText">
    <w:name w:val="annotation text"/>
    <w:basedOn w:val="Normal"/>
    <w:link w:val="CommentTextChar"/>
    <w:uiPriority w:val="99"/>
    <w:rsid w:val="00701433"/>
    <w:rPr>
      <w:sz w:val="20"/>
    </w:rPr>
  </w:style>
  <w:style w:type="character" w:customStyle="1" w:styleId="CommentTextChar">
    <w:name w:val="Comment Text Char"/>
    <w:basedOn w:val="DefaultParagraphFont"/>
    <w:link w:val="CommentText"/>
    <w:uiPriority w:val="99"/>
    <w:rsid w:val="00701433"/>
    <w:rPr>
      <w:sz w:val="20"/>
    </w:rPr>
  </w:style>
  <w:style w:type="paragraph" w:styleId="CommentSubject">
    <w:name w:val="annotation subject"/>
    <w:basedOn w:val="CommentText"/>
    <w:next w:val="CommentText"/>
    <w:link w:val="CommentSubjectChar"/>
    <w:uiPriority w:val="99"/>
    <w:semiHidden/>
    <w:rsid w:val="00701433"/>
    <w:rPr>
      <w:b/>
      <w:bCs/>
    </w:rPr>
  </w:style>
  <w:style w:type="character" w:customStyle="1" w:styleId="CommentSubjectChar">
    <w:name w:val="Comment Subject Char"/>
    <w:basedOn w:val="CommentTextChar"/>
    <w:link w:val="CommentSubject"/>
    <w:uiPriority w:val="99"/>
    <w:semiHidden/>
    <w:rsid w:val="00701433"/>
    <w:rPr>
      <w:b/>
      <w:bCs/>
      <w:sz w:val="20"/>
    </w:rPr>
  </w:style>
  <w:style w:type="paragraph" w:customStyle="1" w:styleId="pf1">
    <w:name w:val="pf1"/>
    <w:basedOn w:val="Normal"/>
    <w:rsid w:val="00553534"/>
    <w:pPr>
      <w:spacing w:before="100" w:beforeAutospacing="1" w:after="100" w:afterAutospacing="1"/>
      <w:ind w:left="300"/>
      <w:jc w:val="left"/>
    </w:pPr>
    <w:rPr>
      <w:szCs w:val="24"/>
      <w:lang w:val="en-IE"/>
    </w:rPr>
  </w:style>
  <w:style w:type="paragraph" w:customStyle="1" w:styleId="pf0">
    <w:name w:val="pf0"/>
    <w:basedOn w:val="Normal"/>
    <w:rsid w:val="00553534"/>
    <w:pPr>
      <w:spacing w:before="100" w:beforeAutospacing="1" w:after="100" w:afterAutospacing="1"/>
      <w:jc w:val="left"/>
    </w:pPr>
    <w:rPr>
      <w:szCs w:val="24"/>
      <w:lang w:val="en-IE"/>
    </w:rPr>
  </w:style>
  <w:style w:type="character" w:customStyle="1" w:styleId="cf01">
    <w:name w:val="cf01"/>
    <w:basedOn w:val="DefaultParagraphFont"/>
    <w:rsid w:val="00553534"/>
    <w:rPr>
      <w:rFonts w:ascii="Segoe UI" w:hAnsi="Segoe UI" w:cs="Segoe UI" w:hint="default"/>
      <w:sz w:val="18"/>
      <w:szCs w:val="18"/>
    </w:rPr>
  </w:style>
  <w:style w:type="paragraph" w:styleId="Revision">
    <w:name w:val="Revision"/>
    <w:hidden/>
    <w:uiPriority w:val="99"/>
    <w:semiHidden/>
    <w:rsid w:val="008C35C0"/>
  </w:style>
  <w:style w:type="character" w:styleId="EndnoteReference">
    <w:name w:val="endnote reference"/>
    <w:basedOn w:val="DefaultParagraphFont"/>
    <w:uiPriority w:val="99"/>
    <w:semiHidden/>
    <w:rsid w:val="00051DE2"/>
    <w:rPr>
      <w:vertAlign w:val="superscript"/>
    </w:rPr>
  </w:style>
  <w:style w:type="paragraph" w:styleId="NormalWeb">
    <w:name w:val="Normal (Web)"/>
    <w:basedOn w:val="Normal"/>
    <w:uiPriority w:val="99"/>
    <w:unhideWhenUsed/>
    <w:rsid w:val="00E2035C"/>
    <w:pPr>
      <w:spacing w:before="100" w:beforeAutospacing="1" w:after="100" w:afterAutospacing="1"/>
      <w:jc w:val="left"/>
    </w:pPr>
    <w:rPr>
      <w:szCs w:val="24"/>
      <w:lang w:val="en-IE"/>
    </w:rPr>
  </w:style>
  <w:style w:type="character" w:customStyle="1" w:styleId="Heading3Char">
    <w:name w:val="Heading 3 Char"/>
    <w:basedOn w:val="DefaultParagraphFont"/>
    <w:link w:val="Heading3"/>
    <w:uiPriority w:val="10"/>
    <w:rsid w:val="00242109"/>
    <w:rPr>
      <w:rFonts w:eastAsia="Times New Roman"/>
      <w:i/>
      <w:lang w:eastAsia="fr-BE"/>
    </w:rPr>
  </w:style>
  <w:style w:type="character" w:styleId="Hyperlink">
    <w:name w:val="Hyperlink"/>
    <w:basedOn w:val="DefaultParagraphFont"/>
    <w:uiPriority w:val="99"/>
    <w:unhideWhenUsed/>
    <w:rsid w:val="008E336A"/>
    <w:rPr>
      <w:color w:val="467886" w:themeColor="hyperlink"/>
      <w:u w:val="single"/>
    </w:rPr>
  </w:style>
  <w:style w:type="character" w:customStyle="1" w:styleId="UnresolvedMention">
    <w:name w:val="Unresolved Mention"/>
    <w:basedOn w:val="DefaultParagraphFont"/>
    <w:uiPriority w:val="99"/>
    <w:semiHidden/>
    <w:unhideWhenUsed/>
    <w:rsid w:val="003E2A8D"/>
    <w:rPr>
      <w:color w:val="605E5C"/>
      <w:shd w:val="clear" w:color="auto" w:fill="E1DFDD"/>
    </w:rPr>
  </w:style>
  <w:style w:type="character" w:styleId="Strong">
    <w:name w:val="Strong"/>
    <w:basedOn w:val="DefaultParagraphFont"/>
    <w:uiPriority w:val="22"/>
    <w:qFormat/>
    <w:rsid w:val="008C6C54"/>
    <w:rPr>
      <w:b/>
      <w:bCs/>
    </w:rPr>
  </w:style>
  <w:style w:type="paragraph" w:customStyle="1" w:styleId="Point0letter">
    <w:name w:val="Point 0 (letter)"/>
    <w:basedOn w:val="Normal"/>
    <w:uiPriority w:val="20"/>
    <w:semiHidden/>
    <w:rsid w:val="008E336A"/>
    <w:pPr>
      <w:numPr>
        <w:ilvl w:val="1"/>
        <w:numId w:val="139"/>
      </w:numPr>
    </w:pPr>
  </w:style>
  <w:style w:type="paragraph" w:customStyle="1" w:styleId="Point0number">
    <w:name w:val="Point 0 (number)"/>
    <w:basedOn w:val="Normal"/>
    <w:uiPriority w:val="20"/>
    <w:rsid w:val="008E336A"/>
    <w:pPr>
      <w:numPr>
        <w:numId w:val="139"/>
      </w:numPr>
    </w:pPr>
  </w:style>
  <w:style w:type="paragraph" w:customStyle="1" w:styleId="Point1letter">
    <w:name w:val="Point 1 (letter)"/>
    <w:basedOn w:val="Normal"/>
    <w:uiPriority w:val="20"/>
    <w:rsid w:val="008E336A"/>
    <w:pPr>
      <w:numPr>
        <w:ilvl w:val="3"/>
        <w:numId w:val="139"/>
      </w:numPr>
    </w:pPr>
  </w:style>
  <w:style w:type="paragraph" w:customStyle="1" w:styleId="Point1number">
    <w:name w:val="Point 1 (number)"/>
    <w:basedOn w:val="Normal"/>
    <w:uiPriority w:val="20"/>
    <w:semiHidden/>
    <w:rsid w:val="008E336A"/>
    <w:pPr>
      <w:numPr>
        <w:ilvl w:val="2"/>
        <w:numId w:val="139"/>
      </w:numPr>
    </w:pPr>
  </w:style>
  <w:style w:type="paragraph" w:customStyle="1" w:styleId="Point2letter">
    <w:name w:val="Point 2 (letter)"/>
    <w:basedOn w:val="Normal"/>
    <w:uiPriority w:val="20"/>
    <w:semiHidden/>
    <w:rsid w:val="008E336A"/>
    <w:pPr>
      <w:numPr>
        <w:ilvl w:val="5"/>
        <w:numId w:val="139"/>
      </w:numPr>
    </w:pPr>
  </w:style>
  <w:style w:type="paragraph" w:customStyle="1" w:styleId="Point2number">
    <w:name w:val="Point 2 (number)"/>
    <w:basedOn w:val="Normal"/>
    <w:uiPriority w:val="20"/>
    <w:rsid w:val="008E336A"/>
    <w:pPr>
      <w:numPr>
        <w:ilvl w:val="4"/>
        <w:numId w:val="139"/>
      </w:numPr>
    </w:pPr>
  </w:style>
  <w:style w:type="paragraph" w:customStyle="1" w:styleId="Point3letter">
    <w:name w:val="Point 3 (letter)"/>
    <w:basedOn w:val="Normal"/>
    <w:uiPriority w:val="20"/>
    <w:semiHidden/>
    <w:rsid w:val="008E336A"/>
    <w:pPr>
      <w:numPr>
        <w:ilvl w:val="7"/>
        <w:numId w:val="139"/>
      </w:numPr>
    </w:pPr>
  </w:style>
  <w:style w:type="paragraph" w:customStyle="1" w:styleId="Point3number">
    <w:name w:val="Point 3 (number)"/>
    <w:basedOn w:val="Normal"/>
    <w:uiPriority w:val="20"/>
    <w:semiHidden/>
    <w:rsid w:val="008E336A"/>
    <w:pPr>
      <w:numPr>
        <w:ilvl w:val="6"/>
        <w:numId w:val="139"/>
      </w:numPr>
    </w:pPr>
  </w:style>
  <w:style w:type="paragraph" w:customStyle="1" w:styleId="Point4letter">
    <w:name w:val="Point 4 (letter)"/>
    <w:basedOn w:val="Normal"/>
    <w:uiPriority w:val="20"/>
    <w:semiHidden/>
    <w:rsid w:val="008E336A"/>
    <w:pPr>
      <w:numPr>
        <w:ilvl w:val="8"/>
        <w:numId w:val="139"/>
      </w:numPr>
    </w:pPr>
  </w:style>
  <w:style w:type="paragraph" w:customStyle="1" w:styleId="Tiret3">
    <w:name w:val="Tiret 3"/>
    <w:basedOn w:val="Point3"/>
    <w:semiHidden/>
    <w:rsid w:val="008E336A"/>
    <w:pPr>
      <w:numPr>
        <w:numId w:val="155"/>
      </w:numPr>
    </w:pPr>
  </w:style>
  <w:style w:type="character" w:customStyle="1" w:styleId="FootnoteTextChar">
    <w:name w:val="Footnote Text Char"/>
    <w:aliases w:val="fn Char,Footnote Text Char Car Char,ALTS FOOTNOTE Char1,Mod-Footnote Text Char,ALTS FOOTNOTE Char Char,Footnote Text Char1 Char Char,Footnote Text Char Char1 Char Char,ft Char Char Char Char,Footnote Text Char3 Char Char Char Char"/>
    <w:basedOn w:val="DefaultParagraphFont"/>
    <w:link w:val="FootnoteText"/>
    <w:uiPriority w:val="99"/>
    <w:rsid w:val="00907D7C"/>
    <w:rPr>
      <w:rFonts w:eastAsia="Times New Roman"/>
      <w:sz w:val="20"/>
      <w:lang w:eastAsia="fr-BE"/>
    </w:rPr>
  </w:style>
  <w:style w:type="character" w:customStyle="1" w:styleId="ListParagraphChar">
    <w:name w:val="List Paragraph Char"/>
    <w:aliases w:val="Fiche List Paragraph Char,Normal bullet 2 Char,Bullet list Char,List Paragraph1 Char,Numbered List Char,1st level - Bullet List Paragraph Char,Lettre d'introduction Char,Paragrafo elenco Char,List Paragraph11 Char,Bullet list1 Char"/>
    <w:link w:val="ListParagraph"/>
    <w:uiPriority w:val="34"/>
    <w:qFormat/>
    <w:locked/>
    <w:rsid w:val="009C23C9"/>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9C23C9"/>
    <w:pPr>
      <w:spacing w:after="160" w:line="240" w:lineRule="exact"/>
    </w:pPr>
    <w:rPr>
      <w:rFonts w:eastAsiaTheme="minorEastAsia"/>
      <w:vertAlign w:val="superscript"/>
      <w:lang w:eastAsia="en-IE"/>
    </w:rPr>
  </w:style>
  <w:style w:type="paragraph" w:customStyle="1" w:styleId="TableHeading">
    <w:name w:val="Table Heading"/>
    <w:basedOn w:val="TableText"/>
    <w:uiPriority w:val="34"/>
    <w:qFormat/>
    <w:rsid w:val="00E23B80"/>
    <w:pPr>
      <w:spacing w:before="0" w:after="0"/>
      <w:ind w:left="113"/>
    </w:pPr>
    <w:rPr>
      <w:rFonts w:ascii="Calibri" w:eastAsiaTheme="minorHAnsi" w:hAnsi="Calibri" w:cstheme="minorBidi"/>
      <w:b/>
      <w:color w:val="06357A"/>
      <w:sz w:val="20"/>
      <w:szCs w:val="22"/>
      <w:lang w:eastAsia="en-US"/>
    </w:rPr>
  </w:style>
  <w:style w:type="numbering" w:customStyle="1" w:styleId="NumbListTable">
    <w:name w:val="NumbListTable"/>
    <w:uiPriority w:val="99"/>
    <w:rsid w:val="00E23B80"/>
    <w:pPr>
      <w:numPr>
        <w:numId w:val="67"/>
      </w:numPr>
    </w:pPr>
  </w:style>
  <w:style w:type="numbering" w:customStyle="1" w:styleId="NumblistFigures">
    <w:name w:val="NumblistFigures"/>
    <w:uiPriority w:val="99"/>
    <w:rsid w:val="00E23B80"/>
    <w:pPr>
      <w:numPr>
        <w:numId w:val="69"/>
      </w:numPr>
    </w:pPr>
  </w:style>
  <w:style w:type="paragraph" w:customStyle="1" w:styleId="TableNote">
    <w:name w:val="Table Note"/>
    <w:basedOn w:val="TableSource"/>
    <w:next w:val="TableSource"/>
    <w:uiPriority w:val="35"/>
    <w:qFormat/>
    <w:rsid w:val="00E23B80"/>
    <w:pPr>
      <w:spacing w:after="60"/>
      <w:jc w:val="left"/>
    </w:pPr>
    <w:rPr>
      <w:rFonts w:ascii="Calibri" w:eastAsiaTheme="minorHAnsi" w:hAnsi="Calibri" w:cstheme="minorBidi"/>
      <w:sz w:val="16"/>
      <w:szCs w:val="22"/>
      <w:lang w:eastAsia="en-US"/>
    </w:rPr>
  </w:style>
  <w:style w:type="paragraph" w:customStyle="1" w:styleId="MinorBullet1">
    <w:name w:val="Minor Bullet 1"/>
    <w:basedOn w:val="Normal"/>
    <w:uiPriority w:val="8"/>
    <w:qFormat/>
    <w:rsid w:val="00E23B80"/>
    <w:pPr>
      <w:numPr>
        <w:numId w:val="70"/>
      </w:numPr>
      <w:spacing w:before="60" w:after="60"/>
    </w:pPr>
    <w:rPr>
      <w:rFonts w:ascii="Calibri" w:eastAsiaTheme="minorHAnsi" w:hAnsi="Calibri" w:cstheme="minorBidi"/>
      <w:sz w:val="22"/>
      <w:szCs w:val="22"/>
      <w:lang w:eastAsia="en-US"/>
    </w:rPr>
  </w:style>
  <w:style w:type="paragraph" w:customStyle="1" w:styleId="MinorBullet2">
    <w:name w:val="Minor Bullet 2"/>
    <w:basedOn w:val="Normal"/>
    <w:uiPriority w:val="8"/>
    <w:qFormat/>
    <w:rsid w:val="00E23B80"/>
    <w:pPr>
      <w:numPr>
        <w:ilvl w:val="1"/>
        <w:numId w:val="70"/>
      </w:numPr>
      <w:spacing w:before="60" w:after="60"/>
    </w:pPr>
    <w:rPr>
      <w:rFonts w:ascii="Calibri" w:eastAsiaTheme="minorHAnsi" w:hAnsi="Calibri" w:cstheme="minorBidi"/>
      <w:sz w:val="22"/>
      <w:szCs w:val="22"/>
      <w:lang w:eastAsia="en-US"/>
    </w:rPr>
  </w:style>
  <w:style w:type="paragraph" w:customStyle="1" w:styleId="MinorBullet3">
    <w:name w:val="Minor Bullet 3"/>
    <w:basedOn w:val="Normal"/>
    <w:uiPriority w:val="8"/>
    <w:qFormat/>
    <w:rsid w:val="00E23B80"/>
    <w:pPr>
      <w:numPr>
        <w:ilvl w:val="2"/>
        <w:numId w:val="70"/>
      </w:numPr>
      <w:spacing w:before="60" w:after="60"/>
    </w:pPr>
    <w:rPr>
      <w:rFonts w:ascii="Calibri" w:eastAsiaTheme="minorHAnsi" w:hAnsi="Calibri" w:cstheme="minorBidi"/>
      <w:sz w:val="22"/>
      <w:szCs w:val="22"/>
      <w:lang w:eastAsia="en-US"/>
    </w:rPr>
  </w:style>
  <w:style w:type="numbering" w:customStyle="1" w:styleId="NumbListMinorBullet">
    <w:name w:val="NumbList Minor Bullet"/>
    <w:uiPriority w:val="99"/>
    <w:rsid w:val="00E23B80"/>
    <w:pPr>
      <w:numPr>
        <w:numId w:val="70"/>
      </w:numPr>
    </w:pPr>
  </w:style>
  <w:style w:type="character" w:styleId="FollowedHyperlink">
    <w:name w:val="FollowedHyperlink"/>
    <w:basedOn w:val="DefaultParagraphFont"/>
    <w:uiPriority w:val="99"/>
    <w:semiHidden/>
    <w:rsid w:val="007B1616"/>
    <w:rPr>
      <w:color w:val="96607D" w:themeColor="followedHyperlink"/>
      <w:u w:val="single"/>
    </w:rPr>
  </w:style>
  <w:style w:type="table" w:styleId="ListTable3">
    <w:name w:val="List Table 3"/>
    <w:basedOn w:val="TableNormal"/>
    <w:uiPriority w:val="48"/>
    <w:rsid w:val="009933E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4">
    <w:name w:val="List Table 4"/>
    <w:basedOn w:val="TableNormal"/>
    <w:uiPriority w:val="49"/>
    <w:rsid w:val="009933E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ableofFigures">
    <w:name w:val="table of figures"/>
    <w:basedOn w:val="Normal"/>
    <w:next w:val="Normal"/>
    <w:uiPriority w:val="99"/>
    <w:rsid w:val="005461C2"/>
    <w:pPr>
      <w:spacing w:after="0"/>
    </w:pPr>
  </w:style>
  <w:style w:type="table" w:styleId="TableGridLight">
    <w:name w:val="Grid Table Light"/>
    <w:basedOn w:val="TableNormal"/>
    <w:uiPriority w:val="40"/>
    <w:rsid w:val="00BA064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ddress">
    <w:name w:val="Address"/>
    <w:basedOn w:val="Normal"/>
    <w:semiHidden/>
    <w:rsid w:val="008E336A"/>
    <w:pPr>
      <w:spacing w:after="0"/>
      <w:contextualSpacing/>
      <w:jc w:val="left"/>
    </w:pPr>
  </w:style>
  <w:style w:type="table" w:customStyle="1" w:styleId="AddressTableOfficial">
    <w:name w:val="Address Table Official"/>
    <w:basedOn w:val="HelperTableBase"/>
    <w:semiHidden/>
    <w:rsid w:val="008E336A"/>
    <w:tblPr>
      <w:tblCellMar>
        <w:top w:w="240" w:type="dxa"/>
      </w:tblCellMar>
    </w:tblPr>
  </w:style>
  <w:style w:type="table" w:customStyle="1" w:styleId="AddressTableTop">
    <w:name w:val="Address Table Top"/>
    <w:basedOn w:val="HelperTableBase"/>
    <w:semiHidden/>
    <w:rsid w:val="008E336A"/>
    <w:tblPr>
      <w:tblCellMar>
        <w:bottom w:w="794" w:type="dxa"/>
      </w:tblCellMar>
    </w:tblPr>
  </w:style>
  <w:style w:type="paragraph" w:customStyle="1" w:styleId="AddressTL">
    <w:name w:val="AddressTL"/>
    <w:basedOn w:val="Normal"/>
    <w:semiHidden/>
    <w:rsid w:val="008E336A"/>
    <w:pPr>
      <w:spacing w:after="840"/>
      <w:contextualSpacing/>
      <w:jc w:val="left"/>
    </w:pPr>
  </w:style>
  <w:style w:type="paragraph" w:customStyle="1" w:styleId="AddressTR">
    <w:name w:val="AddressTR"/>
    <w:basedOn w:val="Normal"/>
    <w:semiHidden/>
    <w:rsid w:val="008E336A"/>
    <w:pPr>
      <w:spacing w:after="840"/>
      <w:ind w:left="5102"/>
      <w:contextualSpacing/>
      <w:jc w:val="left"/>
    </w:pPr>
  </w:style>
  <w:style w:type="paragraph" w:customStyle="1" w:styleId="AnnexeTitre">
    <w:name w:val="Annexe Titre"/>
    <w:basedOn w:val="Normal"/>
    <w:next w:val="Normal"/>
    <w:uiPriority w:val="45"/>
    <w:semiHidden/>
    <w:unhideWhenUsed/>
    <w:qFormat/>
    <w:rsid w:val="008E336A"/>
    <w:pPr>
      <w:pageBreakBefore/>
      <w:spacing w:after="480"/>
      <w:jc w:val="center"/>
      <w:outlineLvl w:val="0"/>
    </w:pPr>
    <w:rPr>
      <w:b/>
      <w:caps/>
      <w:u w:val="single"/>
    </w:rPr>
  </w:style>
  <w:style w:type="paragraph" w:customStyle="1" w:styleId="Bullet0">
    <w:name w:val="Bullet 0"/>
    <w:basedOn w:val="Normal"/>
    <w:semiHidden/>
    <w:rsid w:val="008E336A"/>
    <w:pPr>
      <w:numPr>
        <w:numId w:val="117"/>
      </w:numPr>
    </w:pPr>
  </w:style>
  <w:style w:type="paragraph" w:customStyle="1" w:styleId="Bullet1">
    <w:name w:val="Bullet 1"/>
    <w:basedOn w:val="Normal"/>
    <w:uiPriority w:val="30"/>
    <w:rsid w:val="008E336A"/>
  </w:style>
  <w:style w:type="paragraph" w:customStyle="1" w:styleId="Bullet2">
    <w:name w:val="Bullet 2"/>
    <w:basedOn w:val="Normal"/>
    <w:uiPriority w:val="30"/>
    <w:rsid w:val="008E336A"/>
    <w:pPr>
      <w:numPr>
        <w:numId w:val="119"/>
      </w:numPr>
    </w:pPr>
  </w:style>
  <w:style w:type="paragraph" w:customStyle="1" w:styleId="Bullet3">
    <w:name w:val="Bullet 3"/>
    <w:basedOn w:val="Normal"/>
    <w:semiHidden/>
    <w:rsid w:val="008E336A"/>
    <w:pPr>
      <w:numPr>
        <w:numId w:val="120"/>
      </w:numPr>
    </w:pPr>
  </w:style>
  <w:style w:type="paragraph" w:customStyle="1" w:styleId="Bullet4">
    <w:name w:val="Bullet 4"/>
    <w:basedOn w:val="Normal"/>
    <w:semiHidden/>
    <w:rsid w:val="008E336A"/>
    <w:pPr>
      <w:numPr>
        <w:numId w:val="121"/>
      </w:numPr>
    </w:pPr>
  </w:style>
  <w:style w:type="paragraph" w:styleId="Closing">
    <w:name w:val="Closing"/>
    <w:basedOn w:val="Normal"/>
    <w:next w:val="Signature"/>
    <w:link w:val="ClosingChar"/>
    <w:semiHidden/>
    <w:rsid w:val="008E336A"/>
    <w:pPr>
      <w:tabs>
        <w:tab w:val="left" w:pos="5102"/>
      </w:tabs>
      <w:spacing w:before="240"/>
      <w:ind w:left="5102"/>
      <w:jc w:val="left"/>
    </w:pPr>
  </w:style>
  <w:style w:type="character" w:customStyle="1" w:styleId="ClosingChar">
    <w:name w:val="Closing Char"/>
    <w:basedOn w:val="DefaultParagraphFont"/>
    <w:link w:val="Closing"/>
    <w:semiHidden/>
    <w:rsid w:val="008E336A"/>
    <w:rPr>
      <w:rFonts w:eastAsia="Times New Roman"/>
      <w:lang w:eastAsia="fr-BE"/>
    </w:rPr>
  </w:style>
  <w:style w:type="paragraph" w:customStyle="1" w:styleId="ClosingL">
    <w:name w:val="ClosingL"/>
    <w:basedOn w:val="Normal"/>
    <w:next w:val="Signature"/>
    <w:semiHidden/>
    <w:rsid w:val="008E336A"/>
    <w:pPr>
      <w:spacing w:before="240"/>
      <w:jc w:val="left"/>
    </w:pPr>
  </w:style>
  <w:style w:type="paragraph" w:customStyle="1" w:styleId="Copies">
    <w:name w:val="Copies"/>
    <w:basedOn w:val="Normal"/>
    <w:semiHidden/>
    <w:rsid w:val="008E336A"/>
    <w:pPr>
      <w:tabs>
        <w:tab w:val="left" w:pos="5669"/>
      </w:tabs>
      <w:spacing w:before="480" w:after="0"/>
      <w:ind w:left="1531" w:hanging="1531"/>
      <w:contextualSpacing/>
      <w:jc w:val="left"/>
    </w:pPr>
  </w:style>
  <w:style w:type="paragraph" w:customStyle="1" w:styleId="Enclosures">
    <w:name w:val="Enclosures"/>
    <w:basedOn w:val="Normal"/>
    <w:semiHidden/>
    <w:rsid w:val="008E336A"/>
    <w:pPr>
      <w:keepNext/>
      <w:keepLines/>
      <w:tabs>
        <w:tab w:val="left" w:pos="5669"/>
      </w:tabs>
      <w:spacing w:before="480" w:after="0"/>
      <w:ind w:left="1531" w:hanging="1531"/>
      <w:contextualSpacing/>
      <w:jc w:val="left"/>
    </w:pPr>
  </w:style>
  <w:style w:type="paragraph" w:customStyle="1" w:styleId="Figure">
    <w:name w:val="Figure"/>
    <w:unhideWhenUsed/>
    <w:rsid w:val="008E336A"/>
    <w:pPr>
      <w:keepNext/>
      <w:spacing w:before="120" w:after="120"/>
      <w:jc w:val="both"/>
    </w:pPr>
    <w:rPr>
      <w:rFonts w:eastAsia="Times New Roman"/>
      <w:lang w:eastAsia="fr-BE"/>
    </w:rPr>
  </w:style>
  <w:style w:type="character" w:customStyle="1" w:styleId="Marker2">
    <w:name w:val="Marker2"/>
    <w:basedOn w:val="PlaceholderText"/>
    <w:semiHidden/>
    <w:rsid w:val="008E336A"/>
    <w:rPr>
      <w:color w:val="FF0000"/>
    </w:rPr>
  </w:style>
  <w:style w:type="table" w:customStyle="1" w:styleId="NoteTable">
    <w:name w:val="Note Table"/>
    <w:basedOn w:val="HelperTableBase"/>
    <w:semiHidden/>
    <w:rsid w:val="008E336A"/>
    <w:tblPr>
      <w:tblCellMar>
        <w:left w:w="108" w:type="dxa"/>
        <w:right w:w="108" w:type="dxa"/>
      </w:tblCellMar>
    </w:tblPr>
  </w:style>
  <w:style w:type="paragraph" w:customStyle="1" w:styleId="NoteAddressee">
    <w:name w:val="NoteAddressee"/>
    <w:basedOn w:val="Normal"/>
    <w:semiHidden/>
    <w:rsid w:val="008E336A"/>
    <w:pPr>
      <w:spacing w:after="720"/>
      <w:contextualSpacing/>
      <w:jc w:val="center"/>
    </w:pPr>
    <w:rPr>
      <w:b/>
      <w:smallCaps/>
    </w:rPr>
  </w:style>
  <w:style w:type="paragraph" w:customStyle="1" w:styleId="NoteColumn">
    <w:name w:val="NoteColumn"/>
    <w:basedOn w:val="Normal"/>
    <w:semiHidden/>
    <w:rsid w:val="008E336A"/>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rsid w:val="008E336A"/>
    <w:pPr>
      <w:spacing w:before="720" w:after="720"/>
      <w:contextualSpacing/>
      <w:jc w:val="center"/>
    </w:pPr>
    <w:rPr>
      <w:b/>
      <w:smallCaps/>
    </w:rPr>
  </w:style>
  <w:style w:type="paragraph" w:customStyle="1" w:styleId="NoteList">
    <w:name w:val="NoteList"/>
    <w:basedOn w:val="Normal"/>
    <w:semiHidden/>
    <w:rsid w:val="008E336A"/>
    <w:pPr>
      <w:tabs>
        <w:tab w:val="left" w:pos="5822"/>
      </w:tabs>
      <w:spacing w:before="720" w:after="720"/>
      <w:ind w:left="5102" w:hanging="3118"/>
      <w:contextualSpacing/>
      <w:jc w:val="left"/>
    </w:pPr>
    <w:rPr>
      <w:b/>
      <w:smallCaps/>
    </w:rPr>
  </w:style>
  <w:style w:type="paragraph" w:customStyle="1" w:styleId="NoteTitle">
    <w:name w:val="NoteTitle"/>
    <w:basedOn w:val="Normal"/>
    <w:semiHidden/>
    <w:rsid w:val="008E336A"/>
    <w:pPr>
      <w:spacing w:before="720" w:after="360"/>
      <w:contextualSpacing/>
      <w:jc w:val="center"/>
    </w:pPr>
    <w:rPr>
      <w:b/>
      <w:smallCaps/>
    </w:rPr>
  </w:style>
  <w:style w:type="paragraph" w:customStyle="1" w:styleId="Opening">
    <w:name w:val="Opening"/>
    <w:basedOn w:val="Normal"/>
    <w:semiHidden/>
    <w:rsid w:val="008E336A"/>
    <w:pPr>
      <w:spacing w:before="480" w:after="480"/>
      <w:jc w:val="left"/>
    </w:pPr>
  </w:style>
  <w:style w:type="paragraph" w:customStyle="1" w:styleId="Participants">
    <w:name w:val="Participants"/>
    <w:basedOn w:val="Normal"/>
    <w:semiHidden/>
    <w:rsid w:val="008E336A"/>
    <w:pPr>
      <w:tabs>
        <w:tab w:val="left" w:pos="2551"/>
        <w:tab w:val="left" w:pos="2835"/>
        <w:tab w:val="left" w:pos="5669"/>
        <w:tab w:val="left" w:pos="6378"/>
        <w:tab w:val="left" w:pos="6803"/>
      </w:tabs>
      <w:spacing w:before="480" w:after="0"/>
      <w:ind w:left="1531" w:hanging="1531"/>
      <w:contextualSpacing/>
      <w:jc w:val="left"/>
    </w:pPr>
  </w:style>
  <w:style w:type="paragraph" w:customStyle="1" w:styleId="Point0">
    <w:name w:val="Point 0"/>
    <w:basedOn w:val="Normal"/>
    <w:uiPriority w:val="20"/>
    <w:semiHidden/>
    <w:rsid w:val="008E336A"/>
    <w:pPr>
      <w:ind w:left="567" w:hanging="567"/>
    </w:pPr>
  </w:style>
  <w:style w:type="paragraph" w:customStyle="1" w:styleId="Point1">
    <w:name w:val="Point 1"/>
    <w:basedOn w:val="Normal"/>
    <w:uiPriority w:val="20"/>
    <w:semiHidden/>
    <w:rsid w:val="008E336A"/>
    <w:pPr>
      <w:ind w:left="1417" w:hanging="567"/>
    </w:pPr>
  </w:style>
  <w:style w:type="paragraph" w:customStyle="1" w:styleId="Point2">
    <w:name w:val="Point 2"/>
    <w:basedOn w:val="Normal"/>
    <w:uiPriority w:val="20"/>
    <w:semiHidden/>
    <w:rsid w:val="008E336A"/>
    <w:pPr>
      <w:ind w:left="1984" w:hanging="567"/>
    </w:pPr>
  </w:style>
  <w:style w:type="paragraph" w:customStyle="1" w:styleId="Point3">
    <w:name w:val="Point 3"/>
    <w:basedOn w:val="Normal"/>
    <w:uiPriority w:val="20"/>
    <w:semiHidden/>
    <w:rsid w:val="008E336A"/>
    <w:pPr>
      <w:ind w:left="2551" w:hanging="567"/>
    </w:pPr>
  </w:style>
  <w:style w:type="paragraph" w:customStyle="1" w:styleId="Point4">
    <w:name w:val="Point 4"/>
    <w:basedOn w:val="Normal"/>
    <w:uiPriority w:val="20"/>
    <w:semiHidden/>
    <w:rsid w:val="008E336A"/>
    <w:pPr>
      <w:ind w:left="3118" w:hanging="567"/>
    </w:pPr>
  </w:style>
  <w:style w:type="paragraph" w:customStyle="1" w:styleId="Point5">
    <w:name w:val="Point 5"/>
    <w:basedOn w:val="Normal"/>
    <w:uiPriority w:val="20"/>
    <w:semiHidden/>
    <w:rsid w:val="008E336A"/>
    <w:pPr>
      <w:ind w:left="3685" w:hanging="567"/>
    </w:pPr>
  </w:style>
  <w:style w:type="paragraph" w:customStyle="1" w:styleId="Rfrenceinstitutionnelle">
    <w:name w:val="Référence institutionnelle"/>
    <w:basedOn w:val="Normal"/>
    <w:semiHidden/>
    <w:rsid w:val="008E336A"/>
    <w:pPr>
      <w:spacing w:after="360"/>
      <w:ind w:left="5102" w:right="-567"/>
      <w:jc w:val="left"/>
    </w:pPr>
  </w:style>
  <w:style w:type="paragraph" w:customStyle="1" w:styleId="RegisteredLetter">
    <w:name w:val="Registered Letter"/>
    <w:basedOn w:val="Normal"/>
    <w:semiHidden/>
    <w:rsid w:val="008E336A"/>
    <w:rPr>
      <w:u w:val="single"/>
    </w:rPr>
  </w:style>
  <w:style w:type="paragraph" w:customStyle="1" w:styleId="Source">
    <w:name w:val="Source"/>
    <w:basedOn w:val="Normal"/>
    <w:next w:val="Normal"/>
    <w:uiPriority w:val="99"/>
    <w:unhideWhenUsed/>
    <w:rsid w:val="008E336A"/>
    <w:pPr>
      <w:keepLines/>
      <w:spacing w:before="120"/>
    </w:pPr>
    <w:rPr>
      <w:i/>
      <w:sz w:val="20"/>
    </w:rPr>
  </w:style>
  <w:style w:type="paragraph" w:customStyle="1" w:styleId="Subject">
    <w:name w:val="Subject"/>
    <w:basedOn w:val="Normal"/>
    <w:semiHidden/>
    <w:rsid w:val="008E336A"/>
    <w:pPr>
      <w:spacing w:after="240"/>
      <w:ind w:left="1191" w:hanging="1191"/>
      <w:contextualSpacing/>
      <w:jc w:val="left"/>
    </w:pPr>
    <w:rPr>
      <w:b/>
    </w:rPr>
  </w:style>
  <w:style w:type="paragraph" w:customStyle="1" w:styleId="Tiret0">
    <w:name w:val="Tiret 0"/>
    <w:basedOn w:val="Point0"/>
    <w:uiPriority w:val="30"/>
    <w:semiHidden/>
    <w:rsid w:val="008E336A"/>
    <w:pPr>
      <w:numPr>
        <w:numId w:val="152"/>
      </w:numPr>
    </w:pPr>
  </w:style>
  <w:style w:type="paragraph" w:customStyle="1" w:styleId="Tiret1">
    <w:name w:val="Tiret 1"/>
    <w:basedOn w:val="Point1"/>
    <w:uiPriority w:val="30"/>
    <w:rsid w:val="008E336A"/>
    <w:pPr>
      <w:numPr>
        <w:numId w:val="153"/>
      </w:numPr>
    </w:pPr>
  </w:style>
  <w:style w:type="paragraph" w:customStyle="1" w:styleId="Tiret2">
    <w:name w:val="Tiret 2"/>
    <w:basedOn w:val="Point2"/>
    <w:uiPriority w:val="30"/>
    <w:rsid w:val="008E336A"/>
    <w:pPr>
      <w:numPr>
        <w:numId w:val="154"/>
      </w:numPr>
    </w:pPr>
  </w:style>
  <w:style w:type="paragraph" w:customStyle="1" w:styleId="Tiret4">
    <w:name w:val="Tiret 4"/>
    <w:basedOn w:val="Point4"/>
    <w:semiHidden/>
    <w:rsid w:val="008E336A"/>
    <w:pPr>
      <w:numPr>
        <w:numId w:val="156"/>
      </w:numPr>
    </w:pPr>
  </w:style>
  <w:style w:type="paragraph" w:customStyle="1" w:styleId="Tiret5">
    <w:name w:val="Tiret 5"/>
    <w:basedOn w:val="Point5"/>
    <w:semiHidden/>
    <w:rsid w:val="008E336A"/>
    <w:pPr>
      <w:numPr>
        <w:numId w:val="157"/>
      </w:numPr>
    </w:pPr>
  </w:style>
  <w:style w:type="paragraph" w:customStyle="1" w:styleId="YReferences">
    <w:name w:val="YReferences"/>
    <w:basedOn w:val="Normal"/>
    <w:semiHidden/>
    <w:rsid w:val="008E336A"/>
    <w:pPr>
      <w:spacing w:after="240"/>
      <w:ind w:left="1191" w:hanging="1191"/>
      <w:contextualSpacing/>
    </w:pPr>
  </w:style>
  <w:style w:type="character" w:customStyle="1" w:styleId="Marker">
    <w:name w:val="Marker"/>
    <w:basedOn w:val="DefaultParagraphFont"/>
    <w:rsid w:val="008E336A"/>
    <w:rPr>
      <w:color w:val="0000FF"/>
      <w:shd w:val="clear" w:color="auto" w:fill="auto"/>
    </w:rPr>
  </w:style>
  <w:style w:type="paragraph" w:customStyle="1" w:styleId="Pagedecouverture">
    <w:name w:val="Page de couverture"/>
    <w:basedOn w:val="Normal"/>
    <w:next w:val="Normal"/>
    <w:link w:val="PagedecouvertureChar"/>
    <w:rsid w:val="008E336A"/>
    <w:pPr>
      <w:spacing w:after="0"/>
    </w:pPr>
    <w:rPr>
      <w:rFonts w:eastAsiaTheme="minorHAnsi"/>
      <w:szCs w:val="22"/>
      <w:lang w:eastAsia="en-US"/>
    </w:rPr>
  </w:style>
  <w:style w:type="paragraph" w:customStyle="1" w:styleId="FooterCoverPage">
    <w:name w:val="Footer Cover Page"/>
    <w:basedOn w:val="Normal"/>
    <w:link w:val="FooterCoverPageChar"/>
    <w:rsid w:val="008E336A"/>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8E336A"/>
    <w:rPr>
      <w:rFonts w:eastAsiaTheme="minorHAnsi"/>
      <w:szCs w:val="22"/>
      <w:lang w:eastAsia="en-US"/>
    </w:rPr>
  </w:style>
  <w:style w:type="character" w:customStyle="1" w:styleId="FooterCoverPageChar">
    <w:name w:val="Footer Cover Page Char"/>
    <w:basedOn w:val="PagedecouvertureChar"/>
    <w:link w:val="FooterCoverPage"/>
    <w:rsid w:val="008E336A"/>
    <w:rPr>
      <w:rFonts w:eastAsia="Times New Roman"/>
      <w:szCs w:val="22"/>
      <w:lang w:eastAsia="fr-BE"/>
    </w:rPr>
  </w:style>
  <w:style w:type="paragraph" w:customStyle="1" w:styleId="FooterSensitivity">
    <w:name w:val="Footer Sensitivity"/>
    <w:basedOn w:val="Normal"/>
    <w:link w:val="FooterSensitivityChar"/>
    <w:rsid w:val="008E336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8E336A"/>
    <w:rPr>
      <w:rFonts w:eastAsia="Times New Roman"/>
      <w:b/>
      <w:sz w:val="32"/>
      <w:szCs w:val="22"/>
      <w:lang w:eastAsia="fr-BE"/>
    </w:rPr>
  </w:style>
  <w:style w:type="paragraph" w:customStyle="1" w:styleId="HeaderCoverPage">
    <w:name w:val="Header Cover Page"/>
    <w:basedOn w:val="Normal"/>
    <w:link w:val="HeaderCoverPageChar"/>
    <w:rsid w:val="008E336A"/>
    <w:pPr>
      <w:tabs>
        <w:tab w:val="center" w:pos="4535"/>
        <w:tab w:val="right" w:pos="9071"/>
      </w:tabs>
    </w:pPr>
  </w:style>
  <w:style w:type="character" w:customStyle="1" w:styleId="HeaderCoverPageChar">
    <w:name w:val="Header Cover Page Char"/>
    <w:basedOn w:val="PagedecouvertureChar"/>
    <w:link w:val="HeaderCoverPage"/>
    <w:rsid w:val="008E336A"/>
    <w:rPr>
      <w:rFonts w:eastAsia="Times New Roman"/>
      <w:szCs w:val="22"/>
      <w:lang w:eastAsia="fr-BE"/>
    </w:rPr>
  </w:style>
  <w:style w:type="paragraph" w:customStyle="1" w:styleId="HeaderSensitivity">
    <w:name w:val="Header Sensitivity"/>
    <w:basedOn w:val="Normal"/>
    <w:link w:val="HeaderSensitivityChar"/>
    <w:rsid w:val="008E336A"/>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PagedecouvertureChar"/>
    <w:link w:val="HeaderSensitivity"/>
    <w:rsid w:val="008E336A"/>
    <w:rPr>
      <w:rFonts w:eastAsia="Times New Roman"/>
      <w:b/>
      <w:sz w:val="32"/>
      <w:szCs w:val="22"/>
      <w:lang w:eastAsia="fr-BE"/>
    </w:rPr>
  </w:style>
  <w:style w:type="paragraph" w:customStyle="1" w:styleId="HeaderSensitivityRight">
    <w:name w:val="Header Sensitivity Right"/>
    <w:basedOn w:val="Normal"/>
    <w:link w:val="HeaderSensitivityRightChar"/>
    <w:rsid w:val="008E336A"/>
    <w:pPr>
      <w:jc w:val="right"/>
    </w:pPr>
    <w:rPr>
      <w:sz w:val="28"/>
    </w:rPr>
  </w:style>
  <w:style w:type="character" w:customStyle="1" w:styleId="HeaderSensitivityRightChar">
    <w:name w:val="Header Sensitivity Right Char"/>
    <w:basedOn w:val="PagedecouvertureChar"/>
    <w:link w:val="HeaderSensitivityRight"/>
    <w:rsid w:val="008E336A"/>
    <w:rPr>
      <w:rFonts w:eastAsia="Times New Roman"/>
      <w:sz w:val="28"/>
      <w:szCs w:val="22"/>
      <w:lang w:eastAsia="fr-BE"/>
    </w:rPr>
  </w:style>
  <w:style w:type="paragraph" w:customStyle="1" w:styleId="Table">
    <w:name w:val="Table"/>
    <w:basedOn w:val="TableHeading"/>
    <w:rsid w:val="00EA4DDE"/>
    <w:pPr>
      <w:jc w:val="center"/>
    </w:pPr>
    <w:rPr>
      <w:rFonts w:ascii="Times New Roman" w:hAnsi="Times New Roman" w:cs="Times New Roman"/>
      <w:b w:val="0"/>
      <w:color w:val="FFFFFF" w:themeColor="background1"/>
      <w:sz w:val="24"/>
      <w:szCs w:val="24"/>
    </w:rPr>
  </w:style>
  <w:style w:type="paragraph" w:styleId="List">
    <w:name w:val="List"/>
    <w:basedOn w:val="Normal"/>
    <w:uiPriority w:val="99"/>
    <w:semiHidden/>
    <w:rsid w:val="00EA4DDE"/>
    <w:pPr>
      <w:ind w:left="283" w:hanging="283"/>
      <w:contextualSpacing/>
    </w:pPr>
  </w:style>
  <w:style w:type="character" w:customStyle="1" w:styleId="Heading4Char">
    <w:name w:val="Heading 4 Char"/>
    <w:basedOn w:val="DefaultParagraphFont"/>
    <w:link w:val="Heading4"/>
    <w:uiPriority w:val="10"/>
    <w:rsid w:val="004E06F8"/>
    <w:rPr>
      <w:rFonts w:eastAsia="Times New Roman"/>
      <w:lang w:eastAsia="fr-BE"/>
    </w:rPr>
  </w:style>
  <w:style w:type="character" w:customStyle="1" w:styleId="Hyperlink1">
    <w:name w:val="Hyperlink1"/>
    <w:basedOn w:val="DefaultParagraphFont"/>
    <w:uiPriority w:val="99"/>
    <w:unhideWhenUsed/>
    <w:rsid w:val="00ED32C7"/>
    <w:rPr>
      <w:color w:val="467886"/>
      <w:u w:val="single"/>
    </w:rPr>
  </w:style>
  <w:style w:type="character" w:customStyle="1" w:styleId="Heading1Char">
    <w:name w:val="Heading 1 Char"/>
    <w:basedOn w:val="DefaultParagraphFont"/>
    <w:link w:val="Heading1"/>
    <w:uiPriority w:val="10"/>
    <w:rsid w:val="00CC2C8C"/>
    <w:rPr>
      <w:rFonts w:eastAsia="Times New Roman"/>
      <w:b/>
      <w:smallCaps/>
      <w:lang w:eastAsia="fr-BE"/>
    </w:rPr>
  </w:style>
  <w:style w:type="paragraph" w:customStyle="1" w:styleId="Soour">
    <w:name w:val="Soour"/>
    <w:basedOn w:val="ContNumLevel2"/>
    <w:rsid w:val="005A5C27"/>
    <w:pPr>
      <w:keepNext/>
      <w:numPr>
        <w:numId w:val="0"/>
      </w:numPr>
    </w:pPr>
    <w:rPr>
      <w:sz w:val="20"/>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17065">
      <w:bodyDiv w:val="1"/>
      <w:marLeft w:val="0"/>
      <w:marRight w:val="0"/>
      <w:marTop w:val="0"/>
      <w:marBottom w:val="0"/>
      <w:divBdr>
        <w:top w:val="none" w:sz="0" w:space="0" w:color="auto"/>
        <w:left w:val="none" w:sz="0" w:space="0" w:color="auto"/>
        <w:bottom w:val="none" w:sz="0" w:space="0" w:color="auto"/>
        <w:right w:val="none" w:sz="0" w:space="0" w:color="auto"/>
      </w:divBdr>
      <w:divsChild>
        <w:div w:id="1023441018">
          <w:marLeft w:val="0"/>
          <w:marRight w:val="0"/>
          <w:marTop w:val="0"/>
          <w:marBottom w:val="0"/>
          <w:divBdr>
            <w:top w:val="none" w:sz="0" w:space="0" w:color="auto"/>
            <w:left w:val="none" w:sz="0" w:space="0" w:color="auto"/>
            <w:bottom w:val="none" w:sz="0" w:space="0" w:color="auto"/>
            <w:right w:val="none" w:sz="0" w:space="0" w:color="auto"/>
          </w:divBdr>
          <w:divsChild>
            <w:div w:id="1547176619">
              <w:marLeft w:val="0"/>
              <w:marRight w:val="0"/>
              <w:marTop w:val="0"/>
              <w:marBottom w:val="0"/>
              <w:divBdr>
                <w:top w:val="none" w:sz="0" w:space="0" w:color="auto"/>
                <w:left w:val="none" w:sz="0" w:space="0" w:color="auto"/>
                <w:bottom w:val="none" w:sz="0" w:space="0" w:color="auto"/>
                <w:right w:val="none" w:sz="0" w:space="0" w:color="auto"/>
              </w:divBdr>
              <w:divsChild>
                <w:div w:id="1387726334">
                  <w:marLeft w:val="0"/>
                  <w:marRight w:val="0"/>
                  <w:marTop w:val="0"/>
                  <w:marBottom w:val="0"/>
                  <w:divBdr>
                    <w:top w:val="none" w:sz="0" w:space="0" w:color="auto"/>
                    <w:left w:val="none" w:sz="0" w:space="0" w:color="auto"/>
                    <w:bottom w:val="none" w:sz="0" w:space="0" w:color="auto"/>
                    <w:right w:val="none" w:sz="0" w:space="0" w:color="auto"/>
                  </w:divBdr>
                  <w:divsChild>
                    <w:div w:id="1920942680">
                      <w:marLeft w:val="0"/>
                      <w:marRight w:val="0"/>
                      <w:marTop w:val="0"/>
                      <w:marBottom w:val="0"/>
                      <w:divBdr>
                        <w:top w:val="none" w:sz="0" w:space="0" w:color="auto"/>
                        <w:left w:val="none" w:sz="0" w:space="0" w:color="auto"/>
                        <w:bottom w:val="none" w:sz="0" w:space="0" w:color="auto"/>
                        <w:right w:val="none" w:sz="0" w:space="0" w:color="auto"/>
                      </w:divBdr>
                      <w:divsChild>
                        <w:div w:id="4426963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254945499">
      <w:bodyDiv w:val="1"/>
      <w:marLeft w:val="0"/>
      <w:marRight w:val="0"/>
      <w:marTop w:val="0"/>
      <w:marBottom w:val="0"/>
      <w:divBdr>
        <w:top w:val="none" w:sz="0" w:space="0" w:color="auto"/>
        <w:left w:val="none" w:sz="0" w:space="0" w:color="auto"/>
        <w:bottom w:val="none" w:sz="0" w:space="0" w:color="auto"/>
        <w:right w:val="none" w:sz="0" w:space="0" w:color="auto"/>
      </w:divBdr>
    </w:div>
    <w:div w:id="259216243">
      <w:bodyDiv w:val="1"/>
      <w:marLeft w:val="0"/>
      <w:marRight w:val="0"/>
      <w:marTop w:val="0"/>
      <w:marBottom w:val="0"/>
      <w:divBdr>
        <w:top w:val="none" w:sz="0" w:space="0" w:color="auto"/>
        <w:left w:val="none" w:sz="0" w:space="0" w:color="auto"/>
        <w:bottom w:val="none" w:sz="0" w:space="0" w:color="auto"/>
        <w:right w:val="none" w:sz="0" w:space="0" w:color="auto"/>
      </w:divBdr>
      <w:divsChild>
        <w:div w:id="1230533318">
          <w:marLeft w:val="360"/>
          <w:marRight w:val="0"/>
          <w:marTop w:val="0"/>
          <w:marBottom w:val="360"/>
          <w:divBdr>
            <w:top w:val="none" w:sz="0" w:space="0" w:color="auto"/>
            <w:left w:val="none" w:sz="0" w:space="0" w:color="auto"/>
            <w:bottom w:val="none" w:sz="0" w:space="0" w:color="auto"/>
            <w:right w:val="none" w:sz="0" w:space="0" w:color="auto"/>
          </w:divBdr>
        </w:div>
        <w:div w:id="502747050">
          <w:marLeft w:val="360"/>
          <w:marRight w:val="0"/>
          <w:marTop w:val="0"/>
          <w:marBottom w:val="360"/>
          <w:divBdr>
            <w:top w:val="none" w:sz="0" w:space="0" w:color="auto"/>
            <w:left w:val="none" w:sz="0" w:space="0" w:color="auto"/>
            <w:bottom w:val="none" w:sz="0" w:space="0" w:color="auto"/>
            <w:right w:val="none" w:sz="0" w:space="0" w:color="auto"/>
          </w:divBdr>
        </w:div>
        <w:div w:id="1566063894">
          <w:marLeft w:val="360"/>
          <w:marRight w:val="0"/>
          <w:marTop w:val="0"/>
          <w:marBottom w:val="360"/>
          <w:divBdr>
            <w:top w:val="none" w:sz="0" w:space="0" w:color="auto"/>
            <w:left w:val="none" w:sz="0" w:space="0" w:color="auto"/>
            <w:bottom w:val="none" w:sz="0" w:space="0" w:color="auto"/>
            <w:right w:val="none" w:sz="0" w:space="0" w:color="auto"/>
          </w:divBdr>
        </w:div>
      </w:divsChild>
    </w:div>
    <w:div w:id="346493295">
      <w:bodyDiv w:val="1"/>
      <w:marLeft w:val="0"/>
      <w:marRight w:val="0"/>
      <w:marTop w:val="0"/>
      <w:marBottom w:val="0"/>
      <w:divBdr>
        <w:top w:val="none" w:sz="0" w:space="0" w:color="auto"/>
        <w:left w:val="none" w:sz="0" w:space="0" w:color="auto"/>
        <w:bottom w:val="none" w:sz="0" w:space="0" w:color="auto"/>
        <w:right w:val="none" w:sz="0" w:space="0" w:color="auto"/>
      </w:divBdr>
    </w:div>
    <w:div w:id="399452272">
      <w:bodyDiv w:val="1"/>
      <w:marLeft w:val="0"/>
      <w:marRight w:val="0"/>
      <w:marTop w:val="0"/>
      <w:marBottom w:val="0"/>
      <w:divBdr>
        <w:top w:val="none" w:sz="0" w:space="0" w:color="auto"/>
        <w:left w:val="none" w:sz="0" w:space="0" w:color="auto"/>
        <w:bottom w:val="none" w:sz="0" w:space="0" w:color="auto"/>
        <w:right w:val="none" w:sz="0" w:space="0" w:color="auto"/>
      </w:divBdr>
    </w:div>
    <w:div w:id="532962220">
      <w:bodyDiv w:val="1"/>
      <w:marLeft w:val="0"/>
      <w:marRight w:val="0"/>
      <w:marTop w:val="0"/>
      <w:marBottom w:val="0"/>
      <w:divBdr>
        <w:top w:val="none" w:sz="0" w:space="0" w:color="auto"/>
        <w:left w:val="none" w:sz="0" w:space="0" w:color="auto"/>
        <w:bottom w:val="none" w:sz="0" w:space="0" w:color="auto"/>
        <w:right w:val="none" w:sz="0" w:space="0" w:color="auto"/>
      </w:divBdr>
      <w:divsChild>
        <w:div w:id="852186913">
          <w:marLeft w:val="0"/>
          <w:marRight w:val="0"/>
          <w:marTop w:val="0"/>
          <w:marBottom w:val="0"/>
          <w:divBdr>
            <w:top w:val="none" w:sz="0" w:space="0" w:color="auto"/>
            <w:left w:val="none" w:sz="0" w:space="0" w:color="auto"/>
            <w:bottom w:val="none" w:sz="0" w:space="0" w:color="auto"/>
            <w:right w:val="none" w:sz="0" w:space="0" w:color="auto"/>
          </w:divBdr>
        </w:div>
      </w:divsChild>
    </w:div>
    <w:div w:id="572471230">
      <w:bodyDiv w:val="1"/>
      <w:marLeft w:val="0"/>
      <w:marRight w:val="0"/>
      <w:marTop w:val="0"/>
      <w:marBottom w:val="0"/>
      <w:divBdr>
        <w:top w:val="none" w:sz="0" w:space="0" w:color="auto"/>
        <w:left w:val="none" w:sz="0" w:space="0" w:color="auto"/>
        <w:bottom w:val="none" w:sz="0" w:space="0" w:color="auto"/>
        <w:right w:val="none" w:sz="0" w:space="0" w:color="auto"/>
      </w:divBdr>
    </w:div>
    <w:div w:id="584654628">
      <w:bodyDiv w:val="1"/>
      <w:marLeft w:val="0"/>
      <w:marRight w:val="0"/>
      <w:marTop w:val="0"/>
      <w:marBottom w:val="0"/>
      <w:divBdr>
        <w:top w:val="none" w:sz="0" w:space="0" w:color="auto"/>
        <w:left w:val="none" w:sz="0" w:space="0" w:color="auto"/>
        <w:bottom w:val="none" w:sz="0" w:space="0" w:color="auto"/>
        <w:right w:val="none" w:sz="0" w:space="0" w:color="auto"/>
      </w:divBdr>
    </w:div>
    <w:div w:id="699279488">
      <w:bodyDiv w:val="1"/>
      <w:marLeft w:val="0"/>
      <w:marRight w:val="0"/>
      <w:marTop w:val="0"/>
      <w:marBottom w:val="0"/>
      <w:divBdr>
        <w:top w:val="none" w:sz="0" w:space="0" w:color="auto"/>
        <w:left w:val="none" w:sz="0" w:space="0" w:color="auto"/>
        <w:bottom w:val="none" w:sz="0" w:space="0" w:color="auto"/>
        <w:right w:val="none" w:sz="0" w:space="0" w:color="auto"/>
      </w:divBdr>
    </w:div>
    <w:div w:id="806050493">
      <w:bodyDiv w:val="1"/>
      <w:marLeft w:val="0"/>
      <w:marRight w:val="0"/>
      <w:marTop w:val="0"/>
      <w:marBottom w:val="0"/>
      <w:divBdr>
        <w:top w:val="none" w:sz="0" w:space="0" w:color="auto"/>
        <w:left w:val="none" w:sz="0" w:space="0" w:color="auto"/>
        <w:bottom w:val="none" w:sz="0" w:space="0" w:color="auto"/>
        <w:right w:val="none" w:sz="0" w:space="0" w:color="auto"/>
      </w:divBdr>
    </w:div>
    <w:div w:id="869033294">
      <w:bodyDiv w:val="1"/>
      <w:marLeft w:val="0"/>
      <w:marRight w:val="0"/>
      <w:marTop w:val="0"/>
      <w:marBottom w:val="0"/>
      <w:divBdr>
        <w:top w:val="none" w:sz="0" w:space="0" w:color="auto"/>
        <w:left w:val="none" w:sz="0" w:space="0" w:color="auto"/>
        <w:bottom w:val="none" w:sz="0" w:space="0" w:color="auto"/>
        <w:right w:val="none" w:sz="0" w:space="0" w:color="auto"/>
      </w:divBdr>
      <w:divsChild>
        <w:div w:id="1212426163">
          <w:marLeft w:val="360"/>
          <w:marRight w:val="0"/>
          <w:marTop w:val="0"/>
          <w:marBottom w:val="360"/>
          <w:divBdr>
            <w:top w:val="none" w:sz="0" w:space="0" w:color="auto"/>
            <w:left w:val="none" w:sz="0" w:space="0" w:color="auto"/>
            <w:bottom w:val="none" w:sz="0" w:space="0" w:color="auto"/>
            <w:right w:val="none" w:sz="0" w:space="0" w:color="auto"/>
          </w:divBdr>
        </w:div>
        <w:div w:id="1394886881">
          <w:marLeft w:val="360"/>
          <w:marRight w:val="0"/>
          <w:marTop w:val="0"/>
          <w:marBottom w:val="360"/>
          <w:divBdr>
            <w:top w:val="none" w:sz="0" w:space="0" w:color="auto"/>
            <w:left w:val="none" w:sz="0" w:space="0" w:color="auto"/>
            <w:bottom w:val="none" w:sz="0" w:space="0" w:color="auto"/>
            <w:right w:val="none" w:sz="0" w:space="0" w:color="auto"/>
          </w:divBdr>
        </w:div>
        <w:div w:id="276569291">
          <w:marLeft w:val="360"/>
          <w:marRight w:val="0"/>
          <w:marTop w:val="0"/>
          <w:marBottom w:val="360"/>
          <w:divBdr>
            <w:top w:val="none" w:sz="0" w:space="0" w:color="auto"/>
            <w:left w:val="none" w:sz="0" w:space="0" w:color="auto"/>
            <w:bottom w:val="none" w:sz="0" w:space="0" w:color="auto"/>
            <w:right w:val="none" w:sz="0" w:space="0" w:color="auto"/>
          </w:divBdr>
        </w:div>
      </w:divsChild>
    </w:div>
    <w:div w:id="940146060">
      <w:bodyDiv w:val="1"/>
      <w:marLeft w:val="0"/>
      <w:marRight w:val="0"/>
      <w:marTop w:val="0"/>
      <w:marBottom w:val="0"/>
      <w:divBdr>
        <w:top w:val="none" w:sz="0" w:space="0" w:color="auto"/>
        <w:left w:val="none" w:sz="0" w:space="0" w:color="auto"/>
        <w:bottom w:val="none" w:sz="0" w:space="0" w:color="auto"/>
        <w:right w:val="none" w:sz="0" w:space="0" w:color="auto"/>
      </w:divBdr>
      <w:divsChild>
        <w:div w:id="799372925">
          <w:marLeft w:val="0"/>
          <w:marRight w:val="0"/>
          <w:marTop w:val="0"/>
          <w:marBottom w:val="0"/>
          <w:divBdr>
            <w:top w:val="none" w:sz="0" w:space="0" w:color="auto"/>
            <w:left w:val="none" w:sz="0" w:space="0" w:color="auto"/>
            <w:bottom w:val="none" w:sz="0" w:space="0" w:color="auto"/>
            <w:right w:val="none" w:sz="0" w:space="0" w:color="auto"/>
          </w:divBdr>
          <w:divsChild>
            <w:div w:id="98066006">
              <w:marLeft w:val="0"/>
              <w:marRight w:val="0"/>
              <w:marTop w:val="0"/>
              <w:marBottom w:val="0"/>
              <w:divBdr>
                <w:top w:val="none" w:sz="0" w:space="0" w:color="auto"/>
                <w:left w:val="none" w:sz="0" w:space="0" w:color="auto"/>
                <w:bottom w:val="none" w:sz="0" w:space="0" w:color="auto"/>
                <w:right w:val="none" w:sz="0" w:space="0" w:color="auto"/>
              </w:divBdr>
              <w:divsChild>
                <w:div w:id="713122763">
                  <w:marLeft w:val="0"/>
                  <w:marRight w:val="0"/>
                  <w:marTop w:val="0"/>
                  <w:marBottom w:val="0"/>
                  <w:divBdr>
                    <w:top w:val="none" w:sz="0" w:space="0" w:color="auto"/>
                    <w:left w:val="none" w:sz="0" w:space="0" w:color="auto"/>
                    <w:bottom w:val="none" w:sz="0" w:space="0" w:color="auto"/>
                    <w:right w:val="none" w:sz="0" w:space="0" w:color="auto"/>
                  </w:divBdr>
                  <w:divsChild>
                    <w:div w:id="404299879">
                      <w:marLeft w:val="0"/>
                      <w:marRight w:val="0"/>
                      <w:marTop w:val="0"/>
                      <w:marBottom w:val="0"/>
                      <w:divBdr>
                        <w:top w:val="none" w:sz="0" w:space="0" w:color="auto"/>
                        <w:left w:val="none" w:sz="0" w:space="0" w:color="auto"/>
                        <w:bottom w:val="none" w:sz="0" w:space="0" w:color="auto"/>
                        <w:right w:val="none" w:sz="0" w:space="0" w:color="auto"/>
                      </w:divBdr>
                      <w:divsChild>
                        <w:div w:id="85346863">
                          <w:marLeft w:val="0"/>
                          <w:marRight w:val="0"/>
                          <w:marTop w:val="0"/>
                          <w:marBottom w:val="0"/>
                          <w:divBdr>
                            <w:top w:val="none" w:sz="0" w:space="0" w:color="auto"/>
                            <w:left w:val="none" w:sz="0" w:space="0" w:color="auto"/>
                            <w:bottom w:val="none" w:sz="0" w:space="0" w:color="auto"/>
                            <w:right w:val="none" w:sz="0" w:space="0" w:color="auto"/>
                          </w:divBdr>
                          <w:divsChild>
                            <w:div w:id="1158157460">
                              <w:marLeft w:val="0"/>
                              <w:marRight w:val="0"/>
                              <w:marTop w:val="0"/>
                              <w:marBottom w:val="0"/>
                              <w:divBdr>
                                <w:top w:val="none" w:sz="0" w:space="0" w:color="auto"/>
                                <w:left w:val="none" w:sz="0" w:space="0" w:color="auto"/>
                                <w:bottom w:val="none" w:sz="0" w:space="0" w:color="auto"/>
                                <w:right w:val="none" w:sz="0" w:space="0" w:color="auto"/>
                              </w:divBdr>
                              <w:divsChild>
                                <w:div w:id="653414247">
                                  <w:marLeft w:val="0"/>
                                  <w:marRight w:val="0"/>
                                  <w:marTop w:val="0"/>
                                  <w:marBottom w:val="0"/>
                                  <w:divBdr>
                                    <w:top w:val="none" w:sz="0" w:space="0" w:color="auto"/>
                                    <w:left w:val="none" w:sz="0" w:space="0" w:color="auto"/>
                                    <w:bottom w:val="none" w:sz="0" w:space="0" w:color="auto"/>
                                    <w:right w:val="none" w:sz="0" w:space="0" w:color="auto"/>
                                  </w:divBdr>
                                  <w:divsChild>
                                    <w:div w:id="559902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6470914">
      <w:bodyDiv w:val="1"/>
      <w:marLeft w:val="0"/>
      <w:marRight w:val="0"/>
      <w:marTop w:val="0"/>
      <w:marBottom w:val="0"/>
      <w:divBdr>
        <w:top w:val="none" w:sz="0" w:space="0" w:color="auto"/>
        <w:left w:val="none" w:sz="0" w:space="0" w:color="auto"/>
        <w:bottom w:val="none" w:sz="0" w:space="0" w:color="auto"/>
        <w:right w:val="none" w:sz="0" w:space="0" w:color="auto"/>
      </w:divBdr>
    </w:div>
    <w:div w:id="1029261509">
      <w:bodyDiv w:val="1"/>
      <w:marLeft w:val="0"/>
      <w:marRight w:val="0"/>
      <w:marTop w:val="0"/>
      <w:marBottom w:val="0"/>
      <w:divBdr>
        <w:top w:val="none" w:sz="0" w:space="0" w:color="auto"/>
        <w:left w:val="none" w:sz="0" w:space="0" w:color="auto"/>
        <w:bottom w:val="none" w:sz="0" w:space="0" w:color="auto"/>
        <w:right w:val="none" w:sz="0" w:space="0" w:color="auto"/>
      </w:divBdr>
    </w:div>
    <w:div w:id="1040858730">
      <w:bodyDiv w:val="1"/>
      <w:marLeft w:val="0"/>
      <w:marRight w:val="0"/>
      <w:marTop w:val="0"/>
      <w:marBottom w:val="0"/>
      <w:divBdr>
        <w:top w:val="none" w:sz="0" w:space="0" w:color="auto"/>
        <w:left w:val="none" w:sz="0" w:space="0" w:color="auto"/>
        <w:bottom w:val="none" w:sz="0" w:space="0" w:color="auto"/>
        <w:right w:val="none" w:sz="0" w:space="0" w:color="auto"/>
      </w:divBdr>
      <w:divsChild>
        <w:div w:id="689647007">
          <w:marLeft w:val="0"/>
          <w:marRight w:val="0"/>
          <w:marTop w:val="0"/>
          <w:marBottom w:val="0"/>
          <w:divBdr>
            <w:top w:val="none" w:sz="0" w:space="0" w:color="auto"/>
            <w:left w:val="none" w:sz="0" w:space="0" w:color="auto"/>
            <w:bottom w:val="none" w:sz="0" w:space="0" w:color="auto"/>
            <w:right w:val="none" w:sz="0" w:space="0" w:color="auto"/>
          </w:divBdr>
          <w:divsChild>
            <w:div w:id="339545370">
              <w:marLeft w:val="0"/>
              <w:marRight w:val="0"/>
              <w:marTop w:val="0"/>
              <w:marBottom w:val="0"/>
              <w:divBdr>
                <w:top w:val="none" w:sz="0" w:space="0" w:color="auto"/>
                <w:left w:val="none" w:sz="0" w:space="0" w:color="auto"/>
                <w:bottom w:val="none" w:sz="0" w:space="0" w:color="auto"/>
                <w:right w:val="none" w:sz="0" w:space="0" w:color="auto"/>
              </w:divBdr>
              <w:divsChild>
                <w:div w:id="766121115">
                  <w:marLeft w:val="0"/>
                  <w:marRight w:val="0"/>
                  <w:marTop w:val="0"/>
                  <w:marBottom w:val="0"/>
                  <w:divBdr>
                    <w:top w:val="none" w:sz="0" w:space="0" w:color="auto"/>
                    <w:left w:val="none" w:sz="0" w:space="0" w:color="auto"/>
                    <w:bottom w:val="none" w:sz="0" w:space="0" w:color="auto"/>
                    <w:right w:val="none" w:sz="0" w:space="0" w:color="auto"/>
                  </w:divBdr>
                  <w:divsChild>
                    <w:div w:id="114719977">
                      <w:marLeft w:val="0"/>
                      <w:marRight w:val="0"/>
                      <w:marTop w:val="0"/>
                      <w:marBottom w:val="0"/>
                      <w:divBdr>
                        <w:top w:val="none" w:sz="0" w:space="0" w:color="auto"/>
                        <w:left w:val="none" w:sz="0" w:space="0" w:color="auto"/>
                        <w:bottom w:val="none" w:sz="0" w:space="0" w:color="auto"/>
                        <w:right w:val="none" w:sz="0" w:space="0" w:color="auto"/>
                      </w:divBdr>
                      <w:divsChild>
                        <w:div w:id="719204369">
                          <w:marLeft w:val="0"/>
                          <w:marRight w:val="0"/>
                          <w:marTop w:val="0"/>
                          <w:marBottom w:val="0"/>
                          <w:divBdr>
                            <w:top w:val="none" w:sz="0" w:space="0" w:color="auto"/>
                            <w:left w:val="none" w:sz="0" w:space="0" w:color="auto"/>
                            <w:bottom w:val="none" w:sz="0" w:space="0" w:color="auto"/>
                            <w:right w:val="none" w:sz="0" w:space="0" w:color="auto"/>
                          </w:divBdr>
                          <w:divsChild>
                            <w:div w:id="121265099">
                              <w:marLeft w:val="0"/>
                              <w:marRight w:val="0"/>
                              <w:marTop w:val="0"/>
                              <w:marBottom w:val="0"/>
                              <w:divBdr>
                                <w:top w:val="none" w:sz="0" w:space="0" w:color="auto"/>
                                <w:left w:val="none" w:sz="0" w:space="0" w:color="auto"/>
                                <w:bottom w:val="none" w:sz="0" w:space="0" w:color="auto"/>
                                <w:right w:val="none" w:sz="0" w:space="0" w:color="auto"/>
                              </w:divBdr>
                              <w:divsChild>
                                <w:div w:id="265694101">
                                  <w:marLeft w:val="0"/>
                                  <w:marRight w:val="0"/>
                                  <w:marTop w:val="0"/>
                                  <w:marBottom w:val="0"/>
                                  <w:divBdr>
                                    <w:top w:val="none" w:sz="0" w:space="0" w:color="auto"/>
                                    <w:left w:val="none" w:sz="0" w:space="0" w:color="auto"/>
                                    <w:bottom w:val="none" w:sz="0" w:space="0" w:color="auto"/>
                                    <w:right w:val="none" w:sz="0" w:space="0" w:color="auto"/>
                                  </w:divBdr>
                                  <w:divsChild>
                                    <w:div w:id="1233810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7768472">
      <w:bodyDiv w:val="1"/>
      <w:marLeft w:val="0"/>
      <w:marRight w:val="0"/>
      <w:marTop w:val="0"/>
      <w:marBottom w:val="0"/>
      <w:divBdr>
        <w:top w:val="none" w:sz="0" w:space="0" w:color="auto"/>
        <w:left w:val="none" w:sz="0" w:space="0" w:color="auto"/>
        <w:bottom w:val="none" w:sz="0" w:space="0" w:color="auto"/>
        <w:right w:val="none" w:sz="0" w:space="0" w:color="auto"/>
      </w:divBdr>
    </w:div>
    <w:div w:id="1420252541">
      <w:bodyDiv w:val="1"/>
      <w:marLeft w:val="0"/>
      <w:marRight w:val="0"/>
      <w:marTop w:val="0"/>
      <w:marBottom w:val="0"/>
      <w:divBdr>
        <w:top w:val="none" w:sz="0" w:space="0" w:color="auto"/>
        <w:left w:val="none" w:sz="0" w:space="0" w:color="auto"/>
        <w:bottom w:val="none" w:sz="0" w:space="0" w:color="auto"/>
        <w:right w:val="none" w:sz="0" w:space="0" w:color="auto"/>
      </w:divBdr>
      <w:divsChild>
        <w:div w:id="2064284302">
          <w:marLeft w:val="0"/>
          <w:marRight w:val="0"/>
          <w:marTop w:val="0"/>
          <w:marBottom w:val="0"/>
          <w:divBdr>
            <w:top w:val="none" w:sz="0" w:space="0" w:color="auto"/>
            <w:left w:val="none" w:sz="0" w:space="0" w:color="auto"/>
            <w:bottom w:val="none" w:sz="0" w:space="0" w:color="auto"/>
            <w:right w:val="none" w:sz="0" w:space="0" w:color="auto"/>
          </w:divBdr>
        </w:div>
      </w:divsChild>
    </w:div>
    <w:div w:id="1478718837">
      <w:bodyDiv w:val="1"/>
      <w:marLeft w:val="0"/>
      <w:marRight w:val="0"/>
      <w:marTop w:val="0"/>
      <w:marBottom w:val="0"/>
      <w:divBdr>
        <w:top w:val="none" w:sz="0" w:space="0" w:color="auto"/>
        <w:left w:val="none" w:sz="0" w:space="0" w:color="auto"/>
        <w:bottom w:val="none" w:sz="0" w:space="0" w:color="auto"/>
        <w:right w:val="none" w:sz="0" w:space="0" w:color="auto"/>
      </w:divBdr>
      <w:divsChild>
        <w:div w:id="1984190519">
          <w:marLeft w:val="0"/>
          <w:marRight w:val="0"/>
          <w:marTop w:val="0"/>
          <w:marBottom w:val="0"/>
          <w:divBdr>
            <w:top w:val="none" w:sz="0" w:space="0" w:color="auto"/>
            <w:left w:val="none" w:sz="0" w:space="0" w:color="auto"/>
            <w:bottom w:val="none" w:sz="0" w:space="0" w:color="auto"/>
            <w:right w:val="none" w:sz="0" w:space="0" w:color="auto"/>
          </w:divBdr>
          <w:divsChild>
            <w:div w:id="1949964953">
              <w:marLeft w:val="0"/>
              <w:marRight w:val="0"/>
              <w:marTop w:val="0"/>
              <w:marBottom w:val="0"/>
              <w:divBdr>
                <w:top w:val="none" w:sz="0" w:space="0" w:color="auto"/>
                <w:left w:val="none" w:sz="0" w:space="0" w:color="auto"/>
                <w:bottom w:val="none" w:sz="0" w:space="0" w:color="auto"/>
                <w:right w:val="none" w:sz="0" w:space="0" w:color="auto"/>
              </w:divBdr>
              <w:divsChild>
                <w:div w:id="1026250267">
                  <w:marLeft w:val="0"/>
                  <w:marRight w:val="0"/>
                  <w:marTop w:val="0"/>
                  <w:marBottom w:val="0"/>
                  <w:divBdr>
                    <w:top w:val="none" w:sz="0" w:space="0" w:color="auto"/>
                    <w:left w:val="none" w:sz="0" w:space="0" w:color="auto"/>
                    <w:bottom w:val="none" w:sz="0" w:space="0" w:color="auto"/>
                    <w:right w:val="none" w:sz="0" w:space="0" w:color="auto"/>
                  </w:divBdr>
                  <w:divsChild>
                    <w:div w:id="1703357715">
                      <w:marLeft w:val="0"/>
                      <w:marRight w:val="0"/>
                      <w:marTop w:val="0"/>
                      <w:marBottom w:val="0"/>
                      <w:divBdr>
                        <w:top w:val="none" w:sz="0" w:space="0" w:color="auto"/>
                        <w:left w:val="none" w:sz="0" w:space="0" w:color="auto"/>
                        <w:bottom w:val="none" w:sz="0" w:space="0" w:color="auto"/>
                        <w:right w:val="none" w:sz="0" w:space="0" w:color="auto"/>
                      </w:divBdr>
                      <w:divsChild>
                        <w:div w:id="745302610">
                          <w:marLeft w:val="0"/>
                          <w:marRight w:val="0"/>
                          <w:marTop w:val="0"/>
                          <w:marBottom w:val="0"/>
                          <w:divBdr>
                            <w:top w:val="none" w:sz="0" w:space="0" w:color="auto"/>
                            <w:left w:val="none" w:sz="0" w:space="0" w:color="auto"/>
                            <w:bottom w:val="none" w:sz="0" w:space="0" w:color="auto"/>
                            <w:right w:val="none" w:sz="0" w:space="0" w:color="auto"/>
                          </w:divBdr>
                          <w:divsChild>
                            <w:div w:id="1913466340">
                              <w:marLeft w:val="0"/>
                              <w:marRight w:val="0"/>
                              <w:marTop w:val="0"/>
                              <w:marBottom w:val="0"/>
                              <w:divBdr>
                                <w:top w:val="none" w:sz="0" w:space="0" w:color="auto"/>
                                <w:left w:val="none" w:sz="0" w:space="0" w:color="auto"/>
                                <w:bottom w:val="none" w:sz="0" w:space="0" w:color="auto"/>
                                <w:right w:val="none" w:sz="0" w:space="0" w:color="auto"/>
                              </w:divBdr>
                              <w:divsChild>
                                <w:div w:id="338890222">
                                  <w:marLeft w:val="0"/>
                                  <w:marRight w:val="0"/>
                                  <w:marTop w:val="0"/>
                                  <w:marBottom w:val="0"/>
                                  <w:divBdr>
                                    <w:top w:val="none" w:sz="0" w:space="0" w:color="auto"/>
                                    <w:left w:val="none" w:sz="0" w:space="0" w:color="auto"/>
                                    <w:bottom w:val="none" w:sz="0" w:space="0" w:color="auto"/>
                                    <w:right w:val="none" w:sz="0" w:space="0" w:color="auto"/>
                                  </w:divBdr>
                                  <w:divsChild>
                                    <w:div w:id="1550607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8205777">
      <w:bodyDiv w:val="1"/>
      <w:marLeft w:val="0"/>
      <w:marRight w:val="0"/>
      <w:marTop w:val="0"/>
      <w:marBottom w:val="0"/>
      <w:divBdr>
        <w:top w:val="none" w:sz="0" w:space="0" w:color="auto"/>
        <w:left w:val="none" w:sz="0" w:space="0" w:color="auto"/>
        <w:bottom w:val="none" w:sz="0" w:space="0" w:color="auto"/>
        <w:right w:val="none" w:sz="0" w:space="0" w:color="auto"/>
      </w:divBdr>
      <w:divsChild>
        <w:div w:id="1504278622">
          <w:marLeft w:val="0"/>
          <w:marRight w:val="0"/>
          <w:marTop w:val="0"/>
          <w:marBottom w:val="0"/>
          <w:divBdr>
            <w:top w:val="none" w:sz="0" w:space="0" w:color="auto"/>
            <w:left w:val="none" w:sz="0" w:space="0" w:color="auto"/>
            <w:bottom w:val="none" w:sz="0" w:space="0" w:color="auto"/>
            <w:right w:val="none" w:sz="0" w:space="0" w:color="auto"/>
          </w:divBdr>
          <w:divsChild>
            <w:div w:id="630136880">
              <w:marLeft w:val="0"/>
              <w:marRight w:val="0"/>
              <w:marTop w:val="0"/>
              <w:marBottom w:val="0"/>
              <w:divBdr>
                <w:top w:val="none" w:sz="0" w:space="0" w:color="auto"/>
                <w:left w:val="none" w:sz="0" w:space="0" w:color="auto"/>
                <w:bottom w:val="none" w:sz="0" w:space="0" w:color="auto"/>
                <w:right w:val="none" w:sz="0" w:space="0" w:color="auto"/>
              </w:divBdr>
              <w:divsChild>
                <w:div w:id="1354189667">
                  <w:marLeft w:val="0"/>
                  <w:marRight w:val="0"/>
                  <w:marTop w:val="0"/>
                  <w:marBottom w:val="0"/>
                  <w:divBdr>
                    <w:top w:val="none" w:sz="0" w:space="0" w:color="auto"/>
                    <w:left w:val="none" w:sz="0" w:space="0" w:color="auto"/>
                    <w:bottom w:val="none" w:sz="0" w:space="0" w:color="auto"/>
                    <w:right w:val="none" w:sz="0" w:space="0" w:color="auto"/>
                  </w:divBdr>
                  <w:divsChild>
                    <w:div w:id="298726372">
                      <w:marLeft w:val="0"/>
                      <w:marRight w:val="0"/>
                      <w:marTop w:val="0"/>
                      <w:marBottom w:val="0"/>
                      <w:divBdr>
                        <w:top w:val="none" w:sz="0" w:space="0" w:color="auto"/>
                        <w:left w:val="none" w:sz="0" w:space="0" w:color="auto"/>
                        <w:bottom w:val="none" w:sz="0" w:space="0" w:color="auto"/>
                        <w:right w:val="none" w:sz="0" w:space="0" w:color="auto"/>
                      </w:divBdr>
                      <w:divsChild>
                        <w:div w:id="15514577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40844495">
      <w:bodyDiv w:val="1"/>
      <w:marLeft w:val="0"/>
      <w:marRight w:val="0"/>
      <w:marTop w:val="0"/>
      <w:marBottom w:val="0"/>
      <w:divBdr>
        <w:top w:val="none" w:sz="0" w:space="0" w:color="auto"/>
        <w:left w:val="none" w:sz="0" w:space="0" w:color="auto"/>
        <w:bottom w:val="none" w:sz="0" w:space="0" w:color="auto"/>
        <w:right w:val="none" w:sz="0" w:space="0" w:color="auto"/>
      </w:divBdr>
    </w:div>
    <w:div w:id="1700815718">
      <w:bodyDiv w:val="1"/>
      <w:marLeft w:val="0"/>
      <w:marRight w:val="0"/>
      <w:marTop w:val="0"/>
      <w:marBottom w:val="0"/>
      <w:divBdr>
        <w:top w:val="none" w:sz="0" w:space="0" w:color="auto"/>
        <w:left w:val="none" w:sz="0" w:space="0" w:color="auto"/>
        <w:bottom w:val="none" w:sz="0" w:space="0" w:color="auto"/>
        <w:right w:val="none" w:sz="0" w:space="0" w:color="auto"/>
      </w:divBdr>
      <w:divsChild>
        <w:div w:id="581917118">
          <w:marLeft w:val="0"/>
          <w:marRight w:val="0"/>
          <w:marTop w:val="0"/>
          <w:marBottom w:val="0"/>
          <w:divBdr>
            <w:top w:val="none" w:sz="0" w:space="0" w:color="auto"/>
            <w:left w:val="none" w:sz="0" w:space="0" w:color="auto"/>
            <w:bottom w:val="none" w:sz="0" w:space="0" w:color="auto"/>
            <w:right w:val="none" w:sz="0" w:space="0" w:color="auto"/>
          </w:divBdr>
        </w:div>
      </w:divsChild>
    </w:div>
    <w:div w:id="1798183258">
      <w:bodyDiv w:val="1"/>
      <w:marLeft w:val="0"/>
      <w:marRight w:val="0"/>
      <w:marTop w:val="0"/>
      <w:marBottom w:val="0"/>
      <w:divBdr>
        <w:top w:val="none" w:sz="0" w:space="0" w:color="auto"/>
        <w:left w:val="none" w:sz="0" w:space="0" w:color="auto"/>
        <w:bottom w:val="none" w:sz="0" w:space="0" w:color="auto"/>
        <w:right w:val="none" w:sz="0" w:space="0" w:color="auto"/>
      </w:divBdr>
      <w:divsChild>
        <w:div w:id="872427499">
          <w:marLeft w:val="0"/>
          <w:marRight w:val="0"/>
          <w:marTop w:val="0"/>
          <w:marBottom w:val="0"/>
          <w:divBdr>
            <w:top w:val="none" w:sz="0" w:space="0" w:color="auto"/>
            <w:left w:val="none" w:sz="0" w:space="0" w:color="auto"/>
            <w:bottom w:val="none" w:sz="0" w:space="0" w:color="auto"/>
            <w:right w:val="none" w:sz="0" w:space="0" w:color="auto"/>
          </w:divBdr>
          <w:divsChild>
            <w:div w:id="1017855031">
              <w:marLeft w:val="0"/>
              <w:marRight w:val="0"/>
              <w:marTop w:val="0"/>
              <w:marBottom w:val="0"/>
              <w:divBdr>
                <w:top w:val="none" w:sz="0" w:space="0" w:color="auto"/>
                <w:left w:val="none" w:sz="0" w:space="0" w:color="auto"/>
                <w:bottom w:val="none" w:sz="0" w:space="0" w:color="auto"/>
                <w:right w:val="none" w:sz="0" w:space="0" w:color="auto"/>
              </w:divBdr>
              <w:divsChild>
                <w:div w:id="2140953745">
                  <w:marLeft w:val="0"/>
                  <w:marRight w:val="0"/>
                  <w:marTop w:val="0"/>
                  <w:marBottom w:val="0"/>
                  <w:divBdr>
                    <w:top w:val="none" w:sz="0" w:space="0" w:color="auto"/>
                    <w:left w:val="none" w:sz="0" w:space="0" w:color="auto"/>
                    <w:bottom w:val="none" w:sz="0" w:space="0" w:color="auto"/>
                    <w:right w:val="none" w:sz="0" w:space="0" w:color="auto"/>
                  </w:divBdr>
                  <w:divsChild>
                    <w:div w:id="589238003">
                      <w:marLeft w:val="0"/>
                      <w:marRight w:val="0"/>
                      <w:marTop w:val="0"/>
                      <w:marBottom w:val="0"/>
                      <w:divBdr>
                        <w:top w:val="none" w:sz="0" w:space="0" w:color="auto"/>
                        <w:left w:val="none" w:sz="0" w:space="0" w:color="auto"/>
                        <w:bottom w:val="none" w:sz="0" w:space="0" w:color="auto"/>
                        <w:right w:val="none" w:sz="0" w:space="0" w:color="auto"/>
                      </w:divBdr>
                      <w:divsChild>
                        <w:div w:id="1549144516">
                          <w:marLeft w:val="0"/>
                          <w:marRight w:val="0"/>
                          <w:marTop w:val="0"/>
                          <w:marBottom w:val="0"/>
                          <w:divBdr>
                            <w:top w:val="none" w:sz="0" w:space="0" w:color="auto"/>
                            <w:left w:val="none" w:sz="0" w:space="0" w:color="auto"/>
                            <w:bottom w:val="none" w:sz="0" w:space="0" w:color="auto"/>
                            <w:right w:val="none" w:sz="0" w:space="0" w:color="auto"/>
                          </w:divBdr>
                          <w:divsChild>
                            <w:div w:id="396125473">
                              <w:marLeft w:val="0"/>
                              <w:marRight w:val="0"/>
                              <w:marTop w:val="0"/>
                              <w:marBottom w:val="0"/>
                              <w:divBdr>
                                <w:top w:val="none" w:sz="0" w:space="0" w:color="auto"/>
                                <w:left w:val="none" w:sz="0" w:space="0" w:color="auto"/>
                                <w:bottom w:val="none" w:sz="0" w:space="0" w:color="auto"/>
                                <w:right w:val="none" w:sz="0" w:space="0" w:color="auto"/>
                              </w:divBdr>
                              <w:divsChild>
                                <w:div w:id="744298074">
                                  <w:marLeft w:val="0"/>
                                  <w:marRight w:val="0"/>
                                  <w:marTop w:val="0"/>
                                  <w:marBottom w:val="0"/>
                                  <w:divBdr>
                                    <w:top w:val="none" w:sz="0" w:space="0" w:color="auto"/>
                                    <w:left w:val="none" w:sz="0" w:space="0" w:color="auto"/>
                                    <w:bottom w:val="none" w:sz="0" w:space="0" w:color="auto"/>
                                    <w:right w:val="none" w:sz="0" w:space="0" w:color="auto"/>
                                  </w:divBdr>
                                  <w:divsChild>
                                    <w:div w:id="3359611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5267335">
      <w:bodyDiv w:val="1"/>
      <w:marLeft w:val="0"/>
      <w:marRight w:val="0"/>
      <w:marTop w:val="0"/>
      <w:marBottom w:val="0"/>
      <w:divBdr>
        <w:top w:val="none" w:sz="0" w:space="0" w:color="auto"/>
        <w:left w:val="none" w:sz="0" w:space="0" w:color="auto"/>
        <w:bottom w:val="none" w:sz="0" w:space="0" w:color="auto"/>
        <w:right w:val="none" w:sz="0" w:space="0" w:color="auto"/>
      </w:divBdr>
    </w:div>
    <w:div w:id="1850754261">
      <w:bodyDiv w:val="1"/>
      <w:marLeft w:val="0"/>
      <w:marRight w:val="0"/>
      <w:marTop w:val="0"/>
      <w:marBottom w:val="0"/>
      <w:divBdr>
        <w:top w:val="none" w:sz="0" w:space="0" w:color="auto"/>
        <w:left w:val="none" w:sz="0" w:space="0" w:color="auto"/>
        <w:bottom w:val="none" w:sz="0" w:space="0" w:color="auto"/>
        <w:right w:val="none" w:sz="0" w:space="0" w:color="auto"/>
      </w:divBdr>
    </w:div>
    <w:div w:id="1995836733">
      <w:bodyDiv w:val="1"/>
      <w:marLeft w:val="0"/>
      <w:marRight w:val="0"/>
      <w:marTop w:val="0"/>
      <w:marBottom w:val="0"/>
      <w:divBdr>
        <w:top w:val="none" w:sz="0" w:space="0" w:color="auto"/>
        <w:left w:val="none" w:sz="0" w:space="0" w:color="auto"/>
        <w:bottom w:val="none" w:sz="0" w:space="0" w:color="auto"/>
        <w:right w:val="none" w:sz="0" w:space="0" w:color="auto"/>
      </w:divBdr>
      <w:divsChild>
        <w:div w:id="94249149">
          <w:marLeft w:val="0"/>
          <w:marRight w:val="0"/>
          <w:marTop w:val="0"/>
          <w:marBottom w:val="0"/>
          <w:divBdr>
            <w:top w:val="none" w:sz="0" w:space="0" w:color="auto"/>
            <w:left w:val="none" w:sz="0" w:space="0" w:color="auto"/>
            <w:bottom w:val="none" w:sz="0" w:space="0" w:color="auto"/>
            <w:right w:val="none" w:sz="0" w:space="0" w:color="auto"/>
          </w:divBdr>
        </w:div>
      </w:divsChild>
    </w:div>
    <w:div w:id="2047757154">
      <w:bodyDiv w:val="1"/>
      <w:marLeft w:val="0"/>
      <w:marRight w:val="0"/>
      <w:marTop w:val="0"/>
      <w:marBottom w:val="0"/>
      <w:divBdr>
        <w:top w:val="none" w:sz="0" w:space="0" w:color="auto"/>
        <w:left w:val="none" w:sz="0" w:space="0" w:color="auto"/>
        <w:bottom w:val="none" w:sz="0" w:space="0" w:color="auto"/>
        <w:right w:val="none" w:sz="0" w:space="0" w:color="auto"/>
      </w:divBdr>
    </w:div>
    <w:div w:id="20933516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chart" Target="charts/chart5.xml"/><Relationship Id="rId39"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chart" Target="charts/chart1.xml"/><Relationship Id="rId34"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chart" Target="charts/chart4.xml"/><Relationship Id="rId33" Type="http://schemas.openxmlformats.org/officeDocument/2006/relationships/chart" Target="charts/chart10.xml"/><Relationship Id="rId38"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chart" Target="charts/chart7.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2.png"/><Relationship Id="rId32" Type="http://schemas.openxmlformats.org/officeDocument/2006/relationships/image" Target="media/image4.png"/><Relationship Id="rId37" Type="http://schemas.openxmlformats.org/officeDocument/2006/relationships/footer" Target="footer5.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chart" Target="charts/chart3.xml"/><Relationship Id="rId28" Type="http://schemas.openxmlformats.org/officeDocument/2006/relationships/chart" Target="charts/chart6.xml"/><Relationship Id="rId36" Type="http://schemas.openxmlformats.org/officeDocument/2006/relationships/footer" Target="footer4.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chart" Target="charts/chart9.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chart" Target="charts/chart2.xml"/><Relationship Id="rId27" Type="http://schemas.openxmlformats.org/officeDocument/2006/relationships/image" Target="media/image3.png"/><Relationship Id="rId30" Type="http://schemas.openxmlformats.org/officeDocument/2006/relationships/chart" Target="charts/chart8.xml"/><Relationship Id="rId35" Type="http://schemas.openxmlformats.org/officeDocument/2006/relationships/header" Target="header5.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news/en/press-room/20221107IPR49609/parliament-approves-new-tool-to-ensure-fair-competition-on-the-single-market" TargetMode="External"/><Relationship Id="rId13" Type="http://schemas.openxmlformats.org/officeDocument/2006/relationships/hyperlink" Target="https://ec.europa.eu/commission/presscorner/detail/en/ip_26_43" TargetMode="External"/><Relationship Id="rId18" Type="http://schemas.openxmlformats.org/officeDocument/2006/relationships/hyperlink" Target="https://eur-lex.europa.eu/legal-content/EN/TXT/?uri=CELEX%3A52025DC0045&amp;qid=1761126737792" TargetMode="External"/><Relationship Id="rId26" Type="http://schemas.openxmlformats.org/officeDocument/2006/relationships/hyperlink" Target="https://ec.europa.eu/info/law/better-regulation/have-your-say/initiatives/14760-Foreign-subsidies-review-report/public-consultation_en" TargetMode="External"/><Relationship Id="rId39" Type="http://schemas.openxmlformats.org/officeDocument/2006/relationships/hyperlink" Target="https://www.oecd.org/en/publications/oecd-magic-database-of-industrial-subsidies_ce94f33b-en.html" TargetMode="External"/><Relationship Id="rId3" Type="http://schemas.openxmlformats.org/officeDocument/2006/relationships/hyperlink" Target="https://ec.europa.eu/info/law/better-regulation/have-your-say/initiatives/12452-White-Paper-on-Foreign-Subsidies/public-consultation_en" TargetMode="External"/><Relationship Id="rId21" Type="http://schemas.openxmlformats.org/officeDocument/2006/relationships/hyperlink" Target="https://single-market-economy.ec.europa.eu/single-market/public-procurement/foreign-subsidies-regulation/questions-and-answers_en" TargetMode="External"/><Relationship Id="rId34" Type="http://schemas.openxmlformats.org/officeDocument/2006/relationships/hyperlink" Target="https://single-market-economy.ec.europa.eu/single-market/public-procurement/foreign-subsidies-regulation/guidance-contracting-authorities_en" TargetMode="External"/><Relationship Id="rId7" Type="http://schemas.openxmlformats.org/officeDocument/2006/relationships/hyperlink" Target="https://ec.europa.eu/commission/presscorner/detail/e%20n/ip_22_4190" TargetMode="External"/><Relationship Id="rId12" Type="http://schemas.openxmlformats.org/officeDocument/2006/relationships/hyperlink" Target="https://eur-lex.europa.eu/legal-content/EN/TXT/?uri=CELEX%3A52023XC0713%2801%29&amp;qid=1689319344544" TargetMode="External"/><Relationship Id="rId17" Type="http://schemas.openxmlformats.org/officeDocument/2006/relationships/hyperlink" Target="https://commission.europa.eu/document/download/e6cd4328-673c-4e7a-8683-f63ffb2cf648_en?filename=Political%20Guidelines%202024-2029_EN.pdf" TargetMode="External"/><Relationship Id="rId25" Type="http://schemas.openxmlformats.org/officeDocument/2006/relationships/hyperlink" Target="https://ec.europa.eu/info/law/better-regulation/have-your-say/initiatives/14760-Foreign-subsidies-review-report/feedback_en?p_id=20245" TargetMode="External"/><Relationship Id="rId33" Type="http://schemas.openxmlformats.org/officeDocument/2006/relationships/hyperlink" Target="https://single-market-economy.ec.europa.eu/single-market/public-procurement/foreign-subsidies-regulation_en" TargetMode="External"/><Relationship Id="rId38" Type="http://schemas.openxmlformats.org/officeDocument/2006/relationships/hyperlink" Target="https://eur-lex.europa.eu/legal-content/EN/TXT/?uri=celex%3A52021SC0099" TargetMode="External"/><Relationship Id="rId2" Type="http://schemas.openxmlformats.org/officeDocument/2006/relationships/hyperlink" Target="https://eur-lex.europa.eu/legal-content/EN/TXT/?uri=celex:52020DC0253" TargetMode="External"/><Relationship Id="rId16" Type="http://schemas.openxmlformats.org/officeDocument/2006/relationships/hyperlink" Target="https://ec.europa.eu/info/law/better-regulation/have-your-say/initiatives/14760-Foreign-subsidies-review-report_en" TargetMode="External"/><Relationship Id="rId20" Type="http://schemas.openxmlformats.org/officeDocument/2006/relationships/hyperlink" Target="https://competition-policy.ec.europa.eu/foreign-subsidies-regulation/questions-and-answers_en" TargetMode="External"/><Relationship Id="rId29" Type="http://schemas.openxmlformats.org/officeDocument/2006/relationships/hyperlink" Target="https://ec.europa.eu/competition/foreign_subsidies/cases/202540/FS_100011_1044.pdf" TargetMode="External"/><Relationship Id="rId1" Type="http://schemas.openxmlformats.org/officeDocument/2006/relationships/hyperlink" Target="https://eur-lex.europa.eu/eli/reg/2022/2560/oj" TargetMode="External"/><Relationship Id="rId6" Type="http://schemas.openxmlformats.org/officeDocument/2006/relationships/hyperlink" Target="https://competition-policy.ec.europa.eu/foreign-subsidies-regulation/legislation_en" TargetMode="External"/><Relationship Id="rId11" Type="http://schemas.openxmlformats.org/officeDocument/2006/relationships/hyperlink" Target="https://ec.europa.eu/transparency/comitology-register/screen/meetings/CMTD%282023%291053" TargetMode="External"/><Relationship Id="rId24" Type="http://schemas.openxmlformats.org/officeDocument/2006/relationships/hyperlink" Target="https://commission.europa.eu/document/download/10017eb1-4722-4333-add2-e0ed18105a34_en?filename=Communication_1.pdf" TargetMode="External"/><Relationship Id="rId32" Type="http://schemas.openxmlformats.org/officeDocument/2006/relationships/hyperlink" Target="https://ted.europa.eu/en/" TargetMode="External"/><Relationship Id="rId37" Type="http://schemas.openxmlformats.org/officeDocument/2006/relationships/hyperlink" Target="https://ec.europa.eu/info/law/better-regulation/have-your-say/initiatives/14760-Foreign-subsidies-review-report_en" TargetMode="External"/><Relationship Id="rId5" Type="http://schemas.openxmlformats.org/officeDocument/2006/relationships/hyperlink" Target="https://competition-policy.ec.europa.eu/document/download/feaa6917-8fad-4fc4-bd3c-3baac1dc5297_en?filename=foreign_subsidies_impact_assessment_report.pdf" TargetMode="External"/><Relationship Id="rId15" Type="http://schemas.openxmlformats.org/officeDocument/2006/relationships/hyperlink" Target="https://ec.europa.eu/info/law/better-regulation/have-your-say/initiatives/14760-Foreign-subsidies-review-report/public-consultation_en" TargetMode="External"/><Relationship Id="rId23" Type="http://schemas.openxmlformats.org/officeDocument/2006/relationships/hyperlink" Target="https://op.europa.eu/en/publication-detail/-/publication/0abf578d-df43-11f0-8439-01aa75ed71a1" TargetMode="External"/><Relationship Id="rId28" Type="http://schemas.openxmlformats.org/officeDocument/2006/relationships/hyperlink" Target="https://eur-lex.europa.eu/eli/C/2026/1120/oj" TargetMode="External"/><Relationship Id="rId36" Type="http://schemas.openxmlformats.org/officeDocument/2006/relationships/hyperlink" Target="https://ec.europa.eu/transparency/expert-groups-register/screen/expert-groups/consult?lang=en&amp;groupID=4021" TargetMode="External"/><Relationship Id="rId10" Type="http://schemas.openxmlformats.org/officeDocument/2006/relationships/hyperlink" Target="https://ec.europa.eu/info/law/better-regulation/have-your-say/initiatives/13602-Distortive-foreign-subsidies-procedural-rules-for-assessing-them_en" TargetMode="External"/><Relationship Id="rId19" Type="http://schemas.openxmlformats.org/officeDocument/2006/relationships/hyperlink" Target="https://competition-policy.ec.europa.eu/document/download/b4c8bb13-839b-4bfb-8863-78b188523d22_en?filename=20240726_SWD_clarifications_on_application_of_FSR.pdf" TargetMode="External"/><Relationship Id="rId31" Type="http://schemas.openxmlformats.org/officeDocument/2006/relationships/hyperlink" Target="https://ted.europa.eu/en/simap/cpv" TargetMode="External"/><Relationship Id="rId4" Type="http://schemas.openxmlformats.org/officeDocument/2006/relationships/hyperlink" Target="https://competition-policy.ec.europa.eu/document/download/2bfcf68b-0b6f-4a84-8ff4-aadf027a8a89_en?filename=foreign_subsidies_proposal_for_regulation.pdf" TargetMode="External"/><Relationship Id="rId9" Type="http://schemas.openxmlformats.org/officeDocument/2006/relationships/hyperlink" Target="https://www.consilium.europa.eu/en/press/press-releases/2022/11/28/council-gives-final-approval-to-tackling-distortive-foreign-subsidies-on-the-internal-market/" TargetMode="External"/><Relationship Id="rId14" Type="http://schemas.openxmlformats.org/officeDocument/2006/relationships/hyperlink" Target="https://ec.europa.eu/info/funding-tenders/opportunities/portal/screen/opportunities/tender-details/14538" TargetMode="External"/><Relationship Id="rId22" Type="http://schemas.openxmlformats.org/officeDocument/2006/relationships/hyperlink" Target="https://competition-policy.ec.europa.eu/document/download/22197012-2036-4b1e-8b02-0eb8b2d6e666_en?filename=kdar24001enn_competition_FSR_brief_1_2024_100-days-of-FSR-notification-obligation.pdf" TargetMode="External"/><Relationship Id="rId27" Type="http://schemas.openxmlformats.org/officeDocument/2006/relationships/hyperlink" Target="https://eur-lex.europa.eu/eli/C/2026/545/oj" TargetMode="External"/><Relationship Id="rId30" Type="http://schemas.openxmlformats.org/officeDocument/2006/relationships/hyperlink" Target="https://ec.europa.eu/competition/foreign_subsidies/cases/20266/FS_100156_2550.pdf" TargetMode="External"/><Relationship Id="rId35" Type="http://schemas.openxmlformats.org/officeDocument/2006/relationships/hyperlink" Target="https://single-market-economy.ec.europa.eu/single-market/public-procurement/foreign-subsidies-regulation/guidance-economic-operators_e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eceuropaeu-my.sharepoint.com/personal/antonin_fonck_ec_europa_eu/Documents/$$$$$%20FSR%20Analysis%20NACE%20Codes%20Analysis%20across%20Thresholds%20and%20Regulation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eceuropaeu-my.sharepoint.com/personal/antonin_fonck_ec_europa_eu/Documents/$$$$$%20FSR%20Analysis%20NACE%20Codes%20Analysis%20across%20Thresholds%20and%20Regulation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eceuropaeu-my.sharepoint.com/personal/antonin_fonck_ec_europa_eu/Documents/$$$$$%20FSR%20Analysis%20NACE%20Codes%20Analysis%20across%20Thresholds%20and%20Regulation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eceuropaeu-my.sharepoint.com/personal/antonin_fonck_ec_europa_eu/Documents/$$$$$%20FSR%20Analysis%20NACE%20Codes%20Analysis%20across%20Thresholds%20and%20Regulation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eceuropaeu.sharepoint.com/teams/GRP-FSR773/Shared%20Documents/4.%20HORIZONTAL%20FILES/4.1.%20HORIZONTAL%20WORK/4.1.2.%20REVIEW%202026/Review%20Report/Review%20report%20-%20data/2.1.1.%20NEW%20FSR%20TABLE.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https://eceuropaeu.sharepoint.com/teams/GRP-FSR773/Shared%20Documents/4.%20HORIZONTAL%20FILES/4.1.%20HORIZONTAL%20WORK/4.1.2.%20REVIEW%202026/Review%20Report/Review%20report%20-%20data/2.1.1.%20NEW%20FSR%20TABLE.xlsx" TargetMode="Externa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eceuropaeu.sharepoint.com/teams/GRP-FSR773/Shared%20Documents/4.%20HORIZONTAL%20FILES/4.1.%20HORIZONTAL%20WORK/4.1.2.%20REVIEW%202026/Review%20Report/Review%20report%20-%20data/20260415%20FSR%20review%20OPC%20figures%20recalculation.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sz="1100" b="1">
                <a:latin typeface="Times New Roman" panose="02020603050405020304" pitchFamily="18" charset="0"/>
                <a:cs typeface="Times New Roman" panose="02020603050405020304" pitchFamily="18" charset="0"/>
              </a:rPr>
              <a:t>Implementation of domestic legislation for cooperation under the FSR, in particular Article 14(5)-(7) FSR</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7F9C-4E36-ABD0-2A769079FE4C}"/>
              </c:ext>
            </c:extLst>
          </c:dPt>
          <c:dPt>
            <c:idx val="1"/>
            <c:bubble3D val="0"/>
            <c:spPr>
              <a:solidFill>
                <a:schemeClr val="accent2"/>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7F9C-4E36-ABD0-2A769079FE4C}"/>
              </c:ext>
            </c:extLst>
          </c:dPt>
          <c:dPt>
            <c:idx val="2"/>
            <c:bubble3D val="0"/>
            <c:spPr>
              <a:solidFill>
                <a:schemeClr val="accent3"/>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7F9C-4E36-ABD0-2A769079FE4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ext>
            </c:extLst>
          </c:dLbls>
          <c:cat>
            <c:strRef>
              <c:f>Sheet1!$A$2:$C$2</c:f>
              <c:strCache>
                <c:ptCount val="3"/>
                <c:pt idx="0">
                  <c:v>Adopted</c:v>
                </c:pt>
                <c:pt idx="1">
                  <c:v>Non-adopted </c:v>
                </c:pt>
                <c:pt idx="2">
                  <c:v>Pending application</c:v>
                </c:pt>
              </c:strCache>
            </c:strRef>
          </c:cat>
          <c:val>
            <c:numRef>
              <c:f>Sheet1!$A$3:$C$3</c:f>
              <c:numCache>
                <c:formatCode>General</c:formatCode>
                <c:ptCount val="3"/>
                <c:pt idx="0">
                  <c:v>15</c:v>
                </c:pt>
                <c:pt idx="1">
                  <c:v>6</c:v>
                </c:pt>
                <c:pt idx="2">
                  <c:v>6</c:v>
                </c:pt>
              </c:numCache>
            </c:numRef>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7F9C-4E36-ABD0-2A769079FE4C}"/>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b="1"/>
              <a:t>Distribution of cases per Type of FFC</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dPt>
            <c:idx val="0"/>
            <c:bubble3D val="0"/>
            <c:spPr>
              <a:solidFill>
                <a:schemeClr val="bg2">
                  <a:lumMod val="75000"/>
                </a:schemeClr>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59C7-49D0-93CB-556327B06222}"/>
              </c:ext>
            </c:extLst>
          </c:dPt>
          <c:dPt>
            <c:idx val="1"/>
            <c:bubble3D val="0"/>
            <c:spPr>
              <a:solidFill>
                <a:schemeClr val="accent2"/>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59C7-49D0-93CB-556327B06222}"/>
              </c:ext>
            </c:extLst>
          </c:dPt>
          <c:dPt>
            <c:idx val="2"/>
            <c:bubble3D val="0"/>
            <c:spPr>
              <a:solidFill>
                <a:schemeClr val="accent6"/>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59C7-49D0-93CB-556327B06222}"/>
              </c:ext>
            </c:extLst>
          </c:dPt>
          <c:dPt>
            <c:idx val="3"/>
            <c:bubble3D val="0"/>
            <c:spPr>
              <a:solidFill>
                <a:schemeClr val="accent4"/>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59C7-49D0-93CB-556327B06222}"/>
              </c:ext>
            </c:extLst>
          </c:dPt>
          <c:dPt>
            <c:idx val="4"/>
            <c:bubble3D val="0"/>
            <c:spPr>
              <a:solidFill>
                <a:schemeClr val="accent5"/>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59C7-49D0-93CB-556327B06222}"/>
              </c:ext>
            </c:extLst>
          </c:dPt>
          <c:dPt>
            <c:idx val="5"/>
            <c:bubble3D val="0"/>
            <c:spPr>
              <a:solidFill>
                <a:srgbClr val="FF0000"/>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59C7-49D0-93CB-556327B06222}"/>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Lst>
          </c:dLbls>
          <c:cat>
            <c:strRef>
              <c:f>('Positive FFCs'!$F$1,'Positive FFCs'!$G$1,'Positive FFCs'!$O$1,'Positive FFCs'!$AG$1,'Positive FFCs'!$AT$1,'Positive FFCs'!$AZ$1)</c:f>
              <c:strCache>
                <c:ptCount val="6"/>
                <c:pt idx="0">
                  <c:v>No FFCs reported</c:v>
                </c:pt>
                <c:pt idx="1">
                  <c:v>Capital commitment</c:v>
                </c:pt>
                <c:pt idx="2">
                  <c:v>Tax advantage</c:v>
                </c:pt>
                <c:pt idx="3">
                  <c:v>Credit facilities</c:v>
                </c:pt>
                <c:pt idx="4">
                  <c:v>Licence payments</c:v>
                </c:pt>
                <c:pt idx="5">
                  <c:v>R&amp;D funding</c:v>
                </c:pt>
              </c:strCache>
            </c:strRef>
          </c:cat>
          <c:val>
            <c:numRef>
              <c:f>('Positive FFCs'!$F$52,'Positive FFCs'!$G$52,'Positive FFCs'!$O$52,'Positive FFCs'!$AG$52,'Positive FFCs'!$AT$52,'Positive FFCs'!$AZ$52)</c:f>
              <c:numCache>
                <c:formatCode>General</c:formatCode>
                <c:ptCount val="6"/>
                <c:pt idx="0">
                  <c:v>12</c:v>
                </c:pt>
                <c:pt idx="1">
                  <c:v>11</c:v>
                </c:pt>
                <c:pt idx="2">
                  <c:v>21</c:v>
                </c:pt>
                <c:pt idx="3">
                  <c:v>10</c:v>
                </c:pt>
                <c:pt idx="4">
                  <c:v>4</c:v>
                </c:pt>
                <c:pt idx="5">
                  <c:v>8</c:v>
                </c:pt>
              </c:numCache>
            </c:numRef>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C-59C7-49D0-93CB-556327B06222}"/>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bar"/>
        <c:grouping val="clustered"/>
        <c:varyColors val="0"/>
        <c:ser>
          <c:idx val="0"/>
          <c:order val="0"/>
          <c:tx>
            <c:strRef>
              <c:f>'Renewable X Nace X ALL X &lt;600'!$BK$1</c:f>
              <c:strCache>
                <c:ptCount val="1"/>
                <c:pt idx="0">
                  <c:v>Nace Code Total %</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'Renewable X Nace X ALL X &lt;600'!$L$2:$L$18</c:f>
              <c:strCache>
                <c:ptCount val="17"/>
                <c:pt idx="0">
                  <c:v>A - AGRICULTURE, FORESTRY AND FISHING</c:v>
                </c:pt>
                <c:pt idx="1">
                  <c:v>B - MINING AND QUARRYING</c:v>
                </c:pt>
                <c:pt idx="2">
                  <c:v>C - MANUFACTURING</c:v>
                </c:pt>
                <c:pt idx="3">
                  <c:v>D - ELECTRICITY, GAS, STEAM AND AIR CONDITIONING SUPPLY</c:v>
                </c:pt>
                <c:pt idx="4">
                  <c:v>E - WATER SUPPLY; SEWERAGE, WASTE MANAGEMENT AND REMEDIATION ACTIVITIES</c:v>
                </c:pt>
                <c:pt idx="5">
                  <c:v>F - CONSTRUCTION </c:v>
                </c:pt>
                <c:pt idx="6">
                  <c:v>G - WHOLESALE AND RETAIL TRADE</c:v>
                </c:pt>
                <c:pt idx="7">
                  <c:v>H - TRANSPORTATION AND STORAGE</c:v>
                </c:pt>
                <c:pt idx="8">
                  <c:v>I - ACCOMMODATION AND FOOD SERVICE ACTIVITIES</c:v>
                </c:pt>
                <c:pt idx="9">
                  <c:v>J - PUBLISHING, BROADCASTING, AND CONTENT PRODUCTION AND DISTRIBUTION ACTIVITIES</c:v>
                </c:pt>
                <c:pt idx="10">
                  <c:v>K - TELECOMMUNICATION, COMPUTER PROGRAMMING, CONSULTING, COMPUTING INFRASTRUCTURE AND OTHER INFORMATION SERVICE ACTIVITIES</c:v>
                </c:pt>
                <c:pt idx="11">
                  <c:v>L -  FINANCIAL AND INSURANCE ACTIVITIES</c:v>
                </c:pt>
                <c:pt idx="12">
                  <c:v>M - REAL ESTATE ACTIVITIES</c:v>
                </c:pt>
                <c:pt idx="13">
                  <c:v>N - PROFESSIONAL, SCIENTIFIC AND TECHNICAL ACTIVITIES</c:v>
                </c:pt>
                <c:pt idx="14">
                  <c:v>O - ADMINISTRATIVE AND SUPPORT SERVICE ACTIVITIES</c:v>
                </c:pt>
                <c:pt idx="15">
                  <c:v>R - HUMAN HEALTH AND SOCIAL WORK ACTIVITIES</c:v>
                </c:pt>
                <c:pt idx="16">
                  <c:v>S - ARTS, SPORTS AND RECREATION</c:v>
                </c:pt>
              </c:strCache>
            </c:strRef>
          </c:cat>
          <c:val>
            <c:numRef>
              <c:f>'Renewable X Nace X ALL X &lt;600'!$BK$2:$BK$18</c:f>
              <c:numCache>
                <c:formatCode>0%</c:formatCode>
                <c:ptCount val="17"/>
                <c:pt idx="0">
                  <c:v>1.4545454545454545E-2</c:v>
                </c:pt>
                <c:pt idx="1">
                  <c:v>1.4545454545454545E-2</c:v>
                </c:pt>
                <c:pt idx="2">
                  <c:v>0.27636363636363637</c:v>
                </c:pt>
                <c:pt idx="3">
                  <c:v>7.636363636363637E-2</c:v>
                </c:pt>
                <c:pt idx="4">
                  <c:v>1.090909090909091E-2</c:v>
                </c:pt>
                <c:pt idx="5">
                  <c:v>3.6363636363636362E-2</c:v>
                </c:pt>
                <c:pt idx="6">
                  <c:v>0.19272727272727272</c:v>
                </c:pt>
                <c:pt idx="7">
                  <c:v>6.9090909090909092E-2</c:v>
                </c:pt>
                <c:pt idx="8">
                  <c:v>1.8181818181818181E-2</c:v>
                </c:pt>
                <c:pt idx="9">
                  <c:v>2.9090909090909091E-2</c:v>
                </c:pt>
                <c:pt idx="10">
                  <c:v>2.9090909090909091E-2</c:v>
                </c:pt>
                <c:pt idx="11">
                  <c:v>0.13090909090909092</c:v>
                </c:pt>
                <c:pt idx="12">
                  <c:v>2.5454545454545455E-2</c:v>
                </c:pt>
                <c:pt idx="13">
                  <c:v>2.181818181818182E-2</c:v>
                </c:pt>
                <c:pt idx="14">
                  <c:v>2.9090909090909091E-2</c:v>
                </c:pt>
                <c:pt idx="15">
                  <c:v>1.8181818181818181E-2</c:v>
                </c:pt>
                <c:pt idx="16">
                  <c:v>7.2727272727272727E-3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8459-489F-B4BE-257559DAE580}"/>
            </c:ext>
          </c:extLst>
        </c:ser>
        <c:dLbls>
          <c:dLblPos val="outEnd"/>
          <c:showLegendKey val="0"/>
          <c:showVal val="1"/>
          <c:showCatName val="0"/>
          <c:showSerName val="0"/>
          <c:showPercent val="0"/>
          <c:showBubbleSize val="0"/>
        </c:dLbls>
        <c:gapWidth val="182"/>
        <c:axId val="135757599"/>
        <c:axId val="135756639"/>
      </c:barChart>
      <c:catAx>
        <c:axId val="13575759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5756639"/>
        <c:crosses val="autoZero"/>
        <c:auto val="1"/>
        <c:lblAlgn val="ctr"/>
        <c:lblOffset val="100"/>
        <c:noMultiLvlLbl val="0"/>
      </c:catAx>
      <c:valAx>
        <c:axId val="13575663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575759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TOTAL of &lt;600 per NACE CODE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bar"/>
        <c:grouping val="clustered"/>
        <c:varyColors val="0"/>
        <c:ser>
          <c:idx val="0"/>
          <c:order val="0"/>
          <c:tx>
            <c:strRef>
              <c:f>'Nace X ALL X &lt;600'!$S$20</c:f>
              <c:strCache>
                <c:ptCount val="1"/>
                <c:pt idx="0">
                  <c:v>TOTAL of &lt;600 per NACE CODE % of the 41 cases</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'Nace X ALL X &lt;600'!$R$21:$R$37</c:f>
              <c:strCache>
                <c:ptCount val="17"/>
                <c:pt idx="0">
                  <c:v>A - AGRICULTURE, FORESTRY AND FISHING</c:v>
                </c:pt>
                <c:pt idx="1">
                  <c:v>B - MINING AND QUARRYING</c:v>
                </c:pt>
                <c:pt idx="2">
                  <c:v>C - MANUFACTURING</c:v>
                </c:pt>
                <c:pt idx="3">
                  <c:v>D - ELECTRICITY, GAS, STEAM AND AIR CONDITIONING SUPPLY</c:v>
                </c:pt>
                <c:pt idx="4">
                  <c:v>E - WATER SUPPLY; SEWERAGE, WASTE MANAGEMENT AND REMEDIATION ACTIVITIES</c:v>
                </c:pt>
                <c:pt idx="5">
                  <c:v>F - CONSTRUCTION </c:v>
                </c:pt>
                <c:pt idx="6">
                  <c:v>G - WHOLESALE AND RETAIL TRADE</c:v>
                </c:pt>
                <c:pt idx="7">
                  <c:v>H - TRANSPORTATION AND STORAGE</c:v>
                </c:pt>
                <c:pt idx="8">
                  <c:v>I - ACCOMMODATION AND FOOD SERVICE ACTIVITIES</c:v>
                </c:pt>
                <c:pt idx="9">
                  <c:v>J - PUBLISHING, BROADCASTING, AND CONTENT PRODUCTION AND DISTRIBUTION ACTIVITIES</c:v>
                </c:pt>
                <c:pt idx="10">
                  <c:v>K - TELECOMMUNICATION, COMPUTER PROGRAMMING, CONSULTING, COMPUTING INFRASTRUCTURE AND OTHER INFORMATION SERVICE ACTIVITIES</c:v>
                </c:pt>
                <c:pt idx="11">
                  <c:v>L -  FINANCIAL AND INSURANCE ACTIVITIES</c:v>
                </c:pt>
                <c:pt idx="12">
                  <c:v>M - REAL ESTATE ACTIVITIES</c:v>
                </c:pt>
                <c:pt idx="13">
                  <c:v>N - PROFESSIONAL, SCIENTIFIC AND TECHNICAL ACTIVITIES</c:v>
                </c:pt>
                <c:pt idx="14">
                  <c:v>O - ADMINISTRATIVE AND SUPPORT SERVICE ACTIVITIES</c:v>
                </c:pt>
                <c:pt idx="15">
                  <c:v>R - HUMAN HEALTH AND SOCIAL WORK ACTIVITIES</c:v>
                </c:pt>
                <c:pt idx="16">
                  <c:v>S - ARTS, SPORTS AND RECREATION</c:v>
                </c:pt>
              </c:strCache>
            </c:strRef>
          </c:cat>
          <c:val>
            <c:numRef>
              <c:f>'Nace X ALL X &lt;600'!$S$21:$S$37</c:f>
              <c:numCache>
                <c:formatCode>0%</c:formatCode>
                <c:ptCount val="17"/>
                <c:pt idx="0">
                  <c:v>2.4390243902439025E-2</c:v>
                </c:pt>
                <c:pt idx="1">
                  <c:v>0</c:v>
                </c:pt>
                <c:pt idx="2">
                  <c:v>0.24390243902439024</c:v>
                </c:pt>
                <c:pt idx="3">
                  <c:v>7.3170731707317069E-2</c:v>
                </c:pt>
                <c:pt idx="4">
                  <c:v>0</c:v>
                </c:pt>
                <c:pt idx="5">
                  <c:v>2.4390243902439025E-2</c:v>
                </c:pt>
                <c:pt idx="6">
                  <c:v>0.1951219512195122</c:v>
                </c:pt>
                <c:pt idx="7">
                  <c:v>0.17073170731707318</c:v>
                </c:pt>
                <c:pt idx="8">
                  <c:v>0</c:v>
                </c:pt>
                <c:pt idx="9">
                  <c:v>2.4390243902439025E-2</c:v>
                </c:pt>
                <c:pt idx="10">
                  <c:v>4.878048780487805E-2</c:v>
                </c:pt>
                <c:pt idx="11">
                  <c:v>0.12195121951219512</c:v>
                </c:pt>
                <c:pt idx="12">
                  <c:v>2.4390243902439025E-2</c:v>
                </c:pt>
                <c:pt idx="13">
                  <c:v>2.4390243902439025E-2</c:v>
                </c:pt>
                <c:pt idx="14">
                  <c:v>0</c:v>
                </c:pt>
                <c:pt idx="15">
                  <c:v>2.4390243902439025E-2</c:v>
                </c:pt>
                <c:pt idx="16">
                  <c:v>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B4A5-4A7F-86EC-88781C3FB1E6}"/>
            </c:ext>
          </c:extLst>
        </c:ser>
        <c:dLbls>
          <c:dLblPos val="outEnd"/>
          <c:showLegendKey val="0"/>
          <c:showVal val="1"/>
          <c:showCatName val="0"/>
          <c:showSerName val="0"/>
          <c:showPercent val="0"/>
          <c:showBubbleSize val="0"/>
        </c:dLbls>
        <c:gapWidth val="182"/>
        <c:axId val="749305055"/>
        <c:axId val="749308895"/>
      </c:barChart>
      <c:catAx>
        <c:axId val="7493050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49308895"/>
        <c:crosses val="autoZero"/>
        <c:auto val="1"/>
        <c:lblAlgn val="ctr"/>
        <c:lblOffset val="100"/>
        <c:noMultiLvlLbl val="0"/>
      </c:catAx>
      <c:valAx>
        <c:axId val="74930889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49305055"/>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0869881419147064"/>
          <c:y val="0.16949736205577573"/>
          <c:w val="0.85162059857901018"/>
          <c:h val="0.71074839028188685"/>
        </c:manualLayout>
      </c:layout>
      <c:scatterChart>
        <c:scatterStyle val="lineMarker"/>
        <c:varyColors val="0"/>
        <c:ser>
          <c:idx val="0"/>
          <c:order val="0"/>
          <c:tx>
            <c:strRef>
              <c:f>'Consideration Analysis'!$D$1</c:f>
              <c:strCache>
                <c:ptCount val="1"/>
                <c:pt idx="0">
                  <c:v>Consideration (EUR M)</c:v>
                </c:pt>
              </c:strCache>
            </c:strRef>
          </c:tx>
          <c:spPr>
            <a:ln w="28575" cap="rnd">
              <a:noFill/>
              <a:round/>
            </a:ln>
            <a:effectLst/>
          </c:spPr>
          <c:marker>
            <c:symbol val="circle"/>
            <c:size val="2"/>
            <c:spPr>
              <a:solidFill>
                <a:schemeClr val="accent1"/>
              </a:solidFill>
              <a:ln w="9525">
                <a:solidFill>
                  <a:schemeClr val="tx1">
                    <a:lumMod val="75000"/>
                    <a:lumOff val="25000"/>
                  </a:schemeClr>
                </a:solidFill>
              </a:ln>
              <a:effectLst/>
            </c:spPr>
          </c:marker>
          <c:xVal>
            <c:strRef>
              <c:f>'Consideration Analysis'!$A$2:$A$212</c:f>
              <c:strCache>
                <c:ptCount val="203"/>
                <c:pt idx="0">
                  <c:v>FS.100053</c:v>
                </c:pt>
                <c:pt idx="1">
                  <c:v>FS.100182</c:v>
                </c:pt>
                <c:pt idx="2">
                  <c:v>FS.100197</c:v>
                </c:pt>
                <c:pt idx="3">
                  <c:v>FS.100050</c:v>
                </c:pt>
                <c:pt idx="4">
                  <c:v>FS.100169</c:v>
                </c:pt>
                <c:pt idx="5">
                  <c:v>FS.100227</c:v>
                </c:pt>
                <c:pt idx="6">
                  <c:v>FS.100103</c:v>
                </c:pt>
                <c:pt idx="7">
                  <c:v>FS.100179</c:v>
                </c:pt>
                <c:pt idx="8">
                  <c:v>FS.100154</c:v>
                </c:pt>
                <c:pt idx="9">
                  <c:v>FS.100116</c:v>
                </c:pt>
                <c:pt idx="10">
                  <c:v>FS.100234</c:v>
                </c:pt>
                <c:pt idx="11">
                  <c:v>FS.100166</c:v>
                </c:pt>
                <c:pt idx="12">
                  <c:v>FS.100240</c:v>
                </c:pt>
                <c:pt idx="13">
                  <c:v>FS.100090</c:v>
                </c:pt>
                <c:pt idx="14">
                  <c:v>FS.100210</c:v>
                </c:pt>
                <c:pt idx="15">
                  <c:v>FS.100033</c:v>
                </c:pt>
                <c:pt idx="16">
                  <c:v>FS.100070</c:v>
                </c:pt>
                <c:pt idx="17">
                  <c:v>FS.100027</c:v>
                </c:pt>
                <c:pt idx="18">
                  <c:v>FS.100177</c:v>
                </c:pt>
                <c:pt idx="19">
                  <c:v>FS.100259</c:v>
                </c:pt>
                <c:pt idx="20">
                  <c:v>FS.100110</c:v>
                </c:pt>
                <c:pt idx="21">
                  <c:v>FS.100229</c:v>
                </c:pt>
                <c:pt idx="22">
                  <c:v>FS.100057</c:v>
                </c:pt>
                <c:pt idx="23">
                  <c:v>FS.100264</c:v>
                </c:pt>
                <c:pt idx="24">
                  <c:v>FS.100024</c:v>
                </c:pt>
                <c:pt idx="25">
                  <c:v>FS.100266</c:v>
                </c:pt>
                <c:pt idx="26">
                  <c:v>FS.100009</c:v>
                </c:pt>
                <c:pt idx="27">
                  <c:v>FS.100108</c:v>
                </c:pt>
                <c:pt idx="28">
                  <c:v>FS.100233</c:v>
                </c:pt>
                <c:pt idx="29">
                  <c:v>FS.100101</c:v>
                </c:pt>
                <c:pt idx="30">
                  <c:v>FS.100037</c:v>
                </c:pt>
                <c:pt idx="31">
                  <c:v>FS.100046</c:v>
                </c:pt>
                <c:pt idx="32">
                  <c:v>FS.100161</c:v>
                </c:pt>
                <c:pt idx="33">
                  <c:v>FS.100158</c:v>
                </c:pt>
                <c:pt idx="34">
                  <c:v>FS.100032</c:v>
                </c:pt>
                <c:pt idx="35">
                  <c:v>FS.100208</c:v>
                </c:pt>
                <c:pt idx="36">
                  <c:v>FS.100018</c:v>
                </c:pt>
                <c:pt idx="37">
                  <c:v>FS.100211</c:v>
                </c:pt>
                <c:pt idx="38">
                  <c:v>FS.100074</c:v>
                </c:pt>
                <c:pt idx="39">
                  <c:v>FS.100118</c:v>
                </c:pt>
                <c:pt idx="40">
                  <c:v>FS.100277</c:v>
                </c:pt>
                <c:pt idx="41">
                  <c:v>FS.100056</c:v>
                </c:pt>
                <c:pt idx="42">
                  <c:v>FS.100109</c:v>
                </c:pt>
                <c:pt idx="43">
                  <c:v>FS.100214</c:v>
                </c:pt>
                <c:pt idx="44">
                  <c:v>FS.100117</c:v>
                </c:pt>
                <c:pt idx="45">
                  <c:v>FS.100041</c:v>
                </c:pt>
                <c:pt idx="46">
                  <c:v>FS.100008</c:v>
                </c:pt>
                <c:pt idx="47">
                  <c:v>FS.100216</c:v>
                </c:pt>
                <c:pt idx="48">
                  <c:v>FS.100251</c:v>
                </c:pt>
                <c:pt idx="49">
                  <c:v>FS.100038</c:v>
                </c:pt>
                <c:pt idx="50">
                  <c:v>FS.100064</c:v>
                </c:pt>
                <c:pt idx="51">
                  <c:v>FS.100069</c:v>
                </c:pt>
                <c:pt idx="52">
                  <c:v>FS.100088</c:v>
                </c:pt>
                <c:pt idx="53">
                  <c:v>FS.100039</c:v>
                </c:pt>
                <c:pt idx="54">
                  <c:v>FS.100219</c:v>
                </c:pt>
                <c:pt idx="55">
                  <c:v>FS.100051</c:v>
                </c:pt>
                <c:pt idx="56">
                  <c:v>FS.100048</c:v>
                </c:pt>
                <c:pt idx="57">
                  <c:v>FS.100026</c:v>
                </c:pt>
                <c:pt idx="58">
                  <c:v>FS.100087</c:v>
                </c:pt>
                <c:pt idx="59">
                  <c:v>FS.100014</c:v>
                </c:pt>
                <c:pt idx="60">
                  <c:v>FS.100236</c:v>
                </c:pt>
                <c:pt idx="61">
                  <c:v>FS.100171</c:v>
                </c:pt>
                <c:pt idx="62">
                  <c:v>FS.100084</c:v>
                </c:pt>
                <c:pt idx="63">
                  <c:v>FS.100092</c:v>
                </c:pt>
                <c:pt idx="64">
                  <c:v>FS.100111</c:v>
                </c:pt>
                <c:pt idx="65">
                  <c:v>FS.100044</c:v>
                </c:pt>
                <c:pt idx="66">
                  <c:v>FS.100123</c:v>
                </c:pt>
                <c:pt idx="67">
                  <c:v>FS.100187</c:v>
                </c:pt>
                <c:pt idx="68">
                  <c:v>FS.100209</c:v>
                </c:pt>
                <c:pt idx="69">
                  <c:v>FS.100225</c:v>
                </c:pt>
                <c:pt idx="70">
                  <c:v>FS.100094</c:v>
                </c:pt>
                <c:pt idx="71">
                  <c:v>FS.100239</c:v>
                </c:pt>
                <c:pt idx="72">
                  <c:v>FS.100157</c:v>
                </c:pt>
                <c:pt idx="73">
                  <c:v>FS.100176</c:v>
                </c:pt>
                <c:pt idx="74">
                  <c:v>FS.100072</c:v>
                </c:pt>
                <c:pt idx="75">
                  <c:v>FS.100159</c:v>
                </c:pt>
                <c:pt idx="76">
                  <c:v>FS.100175</c:v>
                </c:pt>
                <c:pt idx="77">
                  <c:v>FS.100010</c:v>
                </c:pt>
                <c:pt idx="78">
                  <c:v>FS.100081</c:v>
                </c:pt>
                <c:pt idx="79">
                  <c:v>FS.100060</c:v>
                </c:pt>
                <c:pt idx="80">
                  <c:v>FS.100045</c:v>
                </c:pt>
                <c:pt idx="81">
                  <c:v>FS.100206</c:v>
                </c:pt>
                <c:pt idx="82">
                  <c:v>FS.100203</c:v>
                </c:pt>
                <c:pt idx="83">
                  <c:v>FS.100195</c:v>
                </c:pt>
                <c:pt idx="84">
                  <c:v>FS.100207</c:v>
                </c:pt>
                <c:pt idx="85">
                  <c:v>FS.100164</c:v>
                </c:pt>
                <c:pt idx="86">
                  <c:v>FS.100200</c:v>
                </c:pt>
                <c:pt idx="87">
                  <c:v>FS.100122</c:v>
                </c:pt>
                <c:pt idx="88">
                  <c:v>FS.100042</c:v>
                </c:pt>
                <c:pt idx="89">
                  <c:v>FS.100105</c:v>
                </c:pt>
                <c:pt idx="90">
                  <c:v>FS.100080</c:v>
                </c:pt>
                <c:pt idx="91">
                  <c:v>FS.100178</c:v>
                </c:pt>
                <c:pt idx="92">
                  <c:v>FS.100115</c:v>
                </c:pt>
                <c:pt idx="93">
                  <c:v>FS.100040</c:v>
                </c:pt>
                <c:pt idx="94">
                  <c:v>FS.100196</c:v>
                </c:pt>
                <c:pt idx="95">
                  <c:v>FS.100191</c:v>
                </c:pt>
                <c:pt idx="96">
                  <c:v>FS.100199</c:v>
                </c:pt>
                <c:pt idx="97">
                  <c:v>FS.100077</c:v>
                </c:pt>
                <c:pt idx="98">
                  <c:v>FS.100078</c:v>
                </c:pt>
                <c:pt idx="99">
                  <c:v>FS.100258</c:v>
                </c:pt>
                <c:pt idx="100">
                  <c:v>FS.100093</c:v>
                </c:pt>
                <c:pt idx="101">
                  <c:v>FS.100235</c:v>
                </c:pt>
                <c:pt idx="102">
                  <c:v>FS.100073</c:v>
                </c:pt>
                <c:pt idx="103">
                  <c:v>FS.100034</c:v>
                </c:pt>
                <c:pt idx="104">
                  <c:v>FS.100107</c:v>
                </c:pt>
                <c:pt idx="105">
                  <c:v>FS.100047</c:v>
                </c:pt>
                <c:pt idx="106">
                  <c:v>FS.100121</c:v>
                </c:pt>
                <c:pt idx="107">
                  <c:v>FS.100019</c:v>
                </c:pt>
                <c:pt idx="108">
                  <c:v>FS.100079</c:v>
                </c:pt>
                <c:pt idx="109">
                  <c:v>FS.100114</c:v>
                </c:pt>
                <c:pt idx="110">
                  <c:v>FS.100031</c:v>
                </c:pt>
                <c:pt idx="111">
                  <c:v>FS.100213</c:v>
                </c:pt>
                <c:pt idx="112">
                  <c:v>FS.100102</c:v>
                </c:pt>
                <c:pt idx="113">
                  <c:v>FS.100085</c:v>
                </c:pt>
                <c:pt idx="114">
                  <c:v>FS.100262</c:v>
                </c:pt>
                <c:pt idx="115">
                  <c:v>FS.100249</c:v>
                </c:pt>
                <c:pt idx="116">
                  <c:v>FS.100119</c:v>
                </c:pt>
                <c:pt idx="117">
                  <c:v>FS.100232</c:v>
                </c:pt>
                <c:pt idx="118">
                  <c:v>FS.100012</c:v>
                </c:pt>
                <c:pt idx="119">
                  <c:v>FS.100025</c:v>
                </c:pt>
                <c:pt idx="120">
                  <c:v>FS.100221</c:v>
                </c:pt>
                <c:pt idx="121">
                  <c:v>FS.100017</c:v>
                </c:pt>
                <c:pt idx="122">
                  <c:v>FS.100091</c:v>
                </c:pt>
                <c:pt idx="123">
                  <c:v>FS.100260</c:v>
                </c:pt>
                <c:pt idx="124">
                  <c:v>FS.100231</c:v>
                </c:pt>
                <c:pt idx="125">
                  <c:v>FS.100254</c:v>
                </c:pt>
                <c:pt idx="126">
                  <c:v>FS.100021</c:v>
                </c:pt>
                <c:pt idx="127">
                  <c:v>FS.100086</c:v>
                </c:pt>
                <c:pt idx="128">
                  <c:v>FS.100188</c:v>
                </c:pt>
                <c:pt idx="129">
                  <c:v>FS.100052</c:v>
                </c:pt>
                <c:pt idx="130">
                  <c:v>FS.100065</c:v>
                </c:pt>
                <c:pt idx="131">
                  <c:v>FS.100223</c:v>
                </c:pt>
                <c:pt idx="132">
                  <c:v>FS.100089</c:v>
                </c:pt>
                <c:pt idx="133">
                  <c:v>FS.100272</c:v>
                </c:pt>
                <c:pt idx="134">
                  <c:v>FS.100023</c:v>
                </c:pt>
                <c:pt idx="135">
                  <c:v>FS.100205</c:v>
                </c:pt>
                <c:pt idx="136">
                  <c:v>FS.100100</c:v>
                </c:pt>
                <c:pt idx="137">
                  <c:v>FS.100212</c:v>
                </c:pt>
                <c:pt idx="138">
                  <c:v>FS.100113</c:v>
                </c:pt>
                <c:pt idx="139">
                  <c:v>FS.100001</c:v>
                </c:pt>
                <c:pt idx="140">
                  <c:v>FS.100180</c:v>
                </c:pt>
                <c:pt idx="141">
                  <c:v>FS.100204</c:v>
                </c:pt>
                <c:pt idx="142">
                  <c:v>FS.100244</c:v>
                </c:pt>
                <c:pt idx="143">
                  <c:v>FS.100011</c:v>
                </c:pt>
                <c:pt idx="144">
                  <c:v>FS.100005</c:v>
                </c:pt>
                <c:pt idx="145">
                  <c:v>FS.100067</c:v>
                </c:pt>
                <c:pt idx="146">
                  <c:v>FS.100238</c:v>
                </c:pt>
                <c:pt idx="147">
                  <c:v>FS.100003</c:v>
                </c:pt>
                <c:pt idx="148">
                  <c:v>FS.100245</c:v>
                </c:pt>
                <c:pt idx="149">
                  <c:v>FS.100217</c:v>
                </c:pt>
                <c:pt idx="150">
                  <c:v>FS.100043</c:v>
                </c:pt>
                <c:pt idx="151">
                  <c:v>FS.100120</c:v>
                </c:pt>
                <c:pt idx="152">
                  <c:v>FS.100282</c:v>
                </c:pt>
                <c:pt idx="153">
                  <c:v>FS.100049</c:v>
                </c:pt>
                <c:pt idx="154">
                  <c:v>FS.100226</c:v>
                </c:pt>
                <c:pt idx="155">
                  <c:v>FS.100248</c:v>
                </c:pt>
                <c:pt idx="156">
                  <c:v>FS.100097</c:v>
                </c:pt>
                <c:pt idx="157">
                  <c:v>FS.100098</c:v>
                </c:pt>
                <c:pt idx="158">
                  <c:v>FS.100198</c:v>
                </c:pt>
                <c:pt idx="159">
                  <c:v>FS.100257</c:v>
                </c:pt>
                <c:pt idx="160">
                  <c:v>FS.100270</c:v>
                </c:pt>
                <c:pt idx="161">
                  <c:v>FS.100246</c:v>
                </c:pt>
                <c:pt idx="162">
                  <c:v>FS.100192</c:v>
                </c:pt>
                <c:pt idx="163">
                  <c:v>FS.100194</c:v>
                </c:pt>
                <c:pt idx="164">
                  <c:v>FS.100155</c:v>
                </c:pt>
                <c:pt idx="165">
                  <c:v>FS.100022</c:v>
                </c:pt>
                <c:pt idx="166">
                  <c:v>FS.100030</c:v>
                </c:pt>
                <c:pt idx="167">
                  <c:v>FS.100172</c:v>
                </c:pt>
                <c:pt idx="168">
                  <c:v>FS.100075</c:v>
                </c:pt>
                <c:pt idx="169">
                  <c:v>FS.100224</c:v>
                </c:pt>
                <c:pt idx="170">
                  <c:v>FS.100243</c:v>
                </c:pt>
                <c:pt idx="171">
                  <c:v>FS.100063</c:v>
                </c:pt>
                <c:pt idx="172">
                  <c:v>FS.100083</c:v>
                </c:pt>
                <c:pt idx="173">
                  <c:v>FS.100135</c:v>
                </c:pt>
                <c:pt idx="174">
                  <c:v>FS.100006</c:v>
                </c:pt>
                <c:pt idx="175">
                  <c:v>FS.100184</c:v>
                </c:pt>
                <c:pt idx="176">
                  <c:v>FS.100222</c:v>
                </c:pt>
                <c:pt idx="177">
                  <c:v>FS.100228</c:v>
                </c:pt>
                <c:pt idx="178">
                  <c:v>FS.100029</c:v>
                </c:pt>
                <c:pt idx="179">
                  <c:v>FS.100095</c:v>
                </c:pt>
                <c:pt idx="180">
                  <c:v>FS.100173</c:v>
                </c:pt>
                <c:pt idx="181">
                  <c:v>FS.100174</c:v>
                </c:pt>
                <c:pt idx="182">
                  <c:v>FS.100263</c:v>
                </c:pt>
                <c:pt idx="183">
                  <c:v>FS.100055</c:v>
                </c:pt>
                <c:pt idx="184">
                  <c:v>FS.100054</c:v>
                </c:pt>
                <c:pt idx="185">
                  <c:v>FS.100124</c:v>
                </c:pt>
                <c:pt idx="186">
                  <c:v>FS.100190</c:v>
                </c:pt>
                <c:pt idx="187">
                  <c:v>FS.100059</c:v>
                </c:pt>
                <c:pt idx="188">
                  <c:v>FS.100193</c:v>
                </c:pt>
                <c:pt idx="189">
                  <c:v>FS.100058</c:v>
                </c:pt>
                <c:pt idx="190">
                  <c:v>FS.100156</c:v>
                </c:pt>
                <c:pt idx="191">
                  <c:v>FS.100035</c:v>
                </c:pt>
                <c:pt idx="192">
                  <c:v>FS.100125</c:v>
                </c:pt>
                <c:pt idx="193">
                  <c:v>FS.100061</c:v>
                </c:pt>
                <c:pt idx="194">
                  <c:v>FS.100062</c:v>
                </c:pt>
                <c:pt idx="195">
                  <c:v>FS.100281</c:v>
                </c:pt>
                <c:pt idx="196">
                  <c:v>FS.100165</c:v>
                </c:pt>
                <c:pt idx="197">
                  <c:v>FS.100255</c:v>
                </c:pt>
                <c:pt idx="198">
                  <c:v>FS.100268</c:v>
                </c:pt>
                <c:pt idx="199">
                  <c:v>FS.100036</c:v>
                </c:pt>
                <c:pt idx="200">
                  <c:v>FS.100267</c:v>
                </c:pt>
                <c:pt idx="201">
                  <c:v>FS.100218</c:v>
                </c:pt>
                <c:pt idx="202">
                  <c:v>FS.100168</c:v>
                </c:pt>
              </c:strCache>
            </c:strRef>
          </c:xVal>
          <c:yVal>
            <c:numRef>
              <c:f>'Consideration Analysis'!$D$2:$D$212</c:f>
              <c:numCache>
                <c:formatCode>General</c:formatCode>
                <c:ptCount val="211"/>
                <c:pt idx="0">
                  <c:v>0</c:v>
                </c:pt>
                <c:pt idx="1">
                  <c:v>1.2490000000000001</c:v>
                </c:pt>
                <c:pt idx="2">
                  <c:v>1.631</c:v>
                </c:pt>
                <c:pt idx="3">
                  <c:v>1.9</c:v>
                </c:pt>
                <c:pt idx="4">
                  <c:v>2.06</c:v>
                </c:pt>
                <c:pt idx="5">
                  <c:v>2.8</c:v>
                </c:pt>
                <c:pt idx="6">
                  <c:v>4.3090000000000002</c:v>
                </c:pt>
                <c:pt idx="7">
                  <c:v>10.5</c:v>
                </c:pt>
                <c:pt idx="8">
                  <c:v>25</c:v>
                </c:pt>
                <c:pt idx="9">
                  <c:v>35</c:v>
                </c:pt>
                <c:pt idx="10">
                  <c:v>42</c:v>
                </c:pt>
                <c:pt idx="11">
                  <c:v>43.7</c:v>
                </c:pt>
                <c:pt idx="12">
                  <c:v>50.6</c:v>
                </c:pt>
                <c:pt idx="13">
                  <c:v>51.098567000000003</c:v>
                </c:pt>
                <c:pt idx="14">
                  <c:v>58.3</c:v>
                </c:pt>
                <c:pt idx="15">
                  <c:v>65.7</c:v>
                </c:pt>
                <c:pt idx="16">
                  <c:v>73.849999999999994</c:v>
                </c:pt>
                <c:pt idx="17">
                  <c:v>75</c:v>
                </c:pt>
                <c:pt idx="18">
                  <c:v>75</c:v>
                </c:pt>
                <c:pt idx="19">
                  <c:v>85</c:v>
                </c:pt>
                <c:pt idx="20">
                  <c:v>95.700999999999993</c:v>
                </c:pt>
                <c:pt idx="21">
                  <c:v>100</c:v>
                </c:pt>
                <c:pt idx="22">
                  <c:v>105</c:v>
                </c:pt>
                <c:pt idx="23">
                  <c:v>117.5</c:v>
                </c:pt>
                <c:pt idx="24">
                  <c:v>142.11000000000001</c:v>
                </c:pt>
                <c:pt idx="25">
                  <c:v>147</c:v>
                </c:pt>
                <c:pt idx="26">
                  <c:v>163</c:v>
                </c:pt>
                <c:pt idx="27">
                  <c:v>163</c:v>
                </c:pt>
                <c:pt idx="28">
                  <c:v>166.6</c:v>
                </c:pt>
                <c:pt idx="29">
                  <c:v>174</c:v>
                </c:pt>
                <c:pt idx="30">
                  <c:v>177.37200000000001</c:v>
                </c:pt>
                <c:pt idx="31">
                  <c:v>180</c:v>
                </c:pt>
                <c:pt idx="32">
                  <c:v>200</c:v>
                </c:pt>
                <c:pt idx="33">
                  <c:v>218</c:v>
                </c:pt>
                <c:pt idx="34">
                  <c:v>220.5</c:v>
                </c:pt>
                <c:pt idx="35">
                  <c:v>235</c:v>
                </c:pt>
                <c:pt idx="36">
                  <c:v>246</c:v>
                </c:pt>
                <c:pt idx="37">
                  <c:v>248</c:v>
                </c:pt>
                <c:pt idx="38">
                  <c:v>249</c:v>
                </c:pt>
                <c:pt idx="39">
                  <c:v>260</c:v>
                </c:pt>
                <c:pt idx="40">
                  <c:v>298</c:v>
                </c:pt>
                <c:pt idx="41">
                  <c:v>300</c:v>
                </c:pt>
                <c:pt idx="42">
                  <c:v>300</c:v>
                </c:pt>
                <c:pt idx="43">
                  <c:v>300</c:v>
                </c:pt>
                <c:pt idx="44">
                  <c:v>315</c:v>
                </c:pt>
                <c:pt idx="45">
                  <c:v>336</c:v>
                </c:pt>
                <c:pt idx="46">
                  <c:v>338</c:v>
                </c:pt>
                <c:pt idx="47">
                  <c:v>345</c:v>
                </c:pt>
                <c:pt idx="48">
                  <c:v>350</c:v>
                </c:pt>
                <c:pt idx="49">
                  <c:v>356.9</c:v>
                </c:pt>
                <c:pt idx="50">
                  <c:v>360</c:v>
                </c:pt>
                <c:pt idx="51">
                  <c:v>362</c:v>
                </c:pt>
                <c:pt idx="52">
                  <c:v>363.52941176470591</c:v>
                </c:pt>
                <c:pt idx="53">
                  <c:v>364.8</c:v>
                </c:pt>
                <c:pt idx="54">
                  <c:v>369.4</c:v>
                </c:pt>
                <c:pt idx="55">
                  <c:v>375</c:v>
                </c:pt>
                <c:pt idx="56">
                  <c:v>381</c:v>
                </c:pt>
                <c:pt idx="57">
                  <c:v>383</c:v>
                </c:pt>
                <c:pt idx="58">
                  <c:v>392</c:v>
                </c:pt>
                <c:pt idx="59">
                  <c:v>392.1</c:v>
                </c:pt>
                <c:pt idx="60">
                  <c:v>397</c:v>
                </c:pt>
                <c:pt idx="61">
                  <c:v>403</c:v>
                </c:pt>
                <c:pt idx="62">
                  <c:v>407</c:v>
                </c:pt>
                <c:pt idx="63">
                  <c:v>417</c:v>
                </c:pt>
                <c:pt idx="64">
                  <c:v>422.5</c:v>
                </c:pt>
                <c:pt idx="65">
                  <c:v>424.6</c:v>
                </c:pt>
                <c:pt idx="66">
                  <c:v>432</c:v>
                </c:pt>
                <c:pt idx="67">
                  <c:v>445</c:v>
                </c:pt>
                <c:pt idx="68">
                  <c:v>450</c:v>
                </c:pt>
                <c:pt idx="69">
                  <c:v>451</c:v>
                </c:pt>
                <c:pt idx="70">
                  <c:v>460</c:v>
                </c:pt>
                <c:pt idx="71">
                  <c:v>460</c:v>
                </c:pt>
                <c:pt idx="72">
                  <c:v>464.3</c:v>
                </c:pt>
                <c:pt idx="73">
                  <c:v>468</c:v>
                </c:pt>
                <c:pt idx="74">
                  <c:v>478</c:v>
                </c:pt>
                <c:pt idx="75">
                  <c:v>525</c:v>
                </c:pt>
                <c:pt idx="76">
                  <c:v>530</c:v>
                </c:pt>
                <c:pt idx="77">
                  <c:v>550</c:v>
                </c:pt>
                <c:pt idx="78">
                  <c:v>550</c:v>
                </c:pt>
                <c:pt idx="79">
                  <c:v>577</c:v>
                </c:pt>
                <c:pt idx="80">
                  <c:v>592</c:v>
                </c:pt>
                <c:pt idx="81">
                  <c:v>599</c:v>
                </c:pt>
                <c:pt idx="82">
                  <c:v>600.9</c:v>
                </c:pt>
                <c:pt idx="83">
                  <c:v>607</c:v>
                </c:pt>
                <c:pt idx="84">
                  <c:v>630</c:v>
                </c:pt>
                <c:pt idx="85">
                  <c:v>632</c:v>
                </c:pt>
                <c:pt idx="86">
                  <c:v>632</c:v>
                </c:pt>
                <c:pt idx="87">
                  <c:v>637</c:v>
                </c:pt>
                <c:pt idx="88">
                  <c:v>660</c:v>
                </c:pt>
                <c:pt idx="89">
                  <c:v>672</c:v>
                </c:pt>
                <c:pt idx="90">
                  <c:v>710</c:v>
                </c:pt>
                <c:pt idx="91">
                  <c:v>720</c:v>
                </c:pt>
                <c:pt idx="92">
                  <c:v>750</c:v>
                </c:pt>
                <c:pt idx="93">
                  <c:v>779</c:v>
                </c:pt>
                <c:pt idx="94">
                  <c:v>800</c:v>
                </c:pt>
                <c:pt idx="95">
                  <c:v>825.42</c:v>
                </c:pt>
                <c:pt idx="96">
                  <c:v>845</c:v>
                </c:pt>
                <c:pt idx="97">
                  <c:v>846.5</c:v>
                </c:pt>
                <c:pt idx="98">
                  <c:v>855</c:v>
                </c:pt>
                <c:pt idx="99">
                  <c:v>870</c:v>
                </c:pt>
                <c:pt idx="100">
                  <c:v>897.472757</c:v>
                </c:pt>
                <c:pt idx="101">
                  <c:v>900</c:v>
                </c:pt>
                <c:pt idx="102">
                  <c:v>912</c:v>
                </c:pt>
                <c:pt idx="103">
                  <c:v>925</c:v>
                </c:pt>
                <c:pt idx="104">
                  <c:v>942.5</c:v>
                </c:pt>
                <c:pt idx="105">
                  <c:v>959</c:v>
                </c:pt>
                <c:pt idx="106">
                  <c:v>973</c:v>
                </c:pt>
                <c:pt idx="107">
                  <c:v>1050</c:v>
                </c:pt>
                <c:pt idx="108">
                  <c:v>1050</c:v>
                </c:pt>
                <c:pt idx="109">
                  <c:v>1060</c:v>
                </c:pt>
                <c:pt idx="110">
                  <c:v>1100</c:v>
                </c:pt>
                <c:pt idx="111">
                  <c:v>1100</c:v>
                </c:pt>
                <c:pt idx="112">
                  <c:v>1110</c:v>
                </c:pt>
                <c:pt idx="113">
                  <c:v>1160</c:v>
                </c:pt>
                <c:pt idx="114">
                  <c:v>1200</c:v>
                </c:pt>
                <c:pt idx="115">
                  <c:v>1243</c:v>
                </c:pt>
                <c:pt idx="116">
                  <c:v>1244.29</c:v>
                </c:pt>
                <c:pt idx="117">
                  <c:v>1250</c:v>
                </c:pt>
                <c:pt idx="118">
                  <c:v>1260</c:v>
                </c:pt>
                <c:pt idx="119">
                  <c:v>1260</c:v>
                </c:pt>
                <c:pt idx="120">
                  <c:v>1370</c:v>
                </c:pt>
                <c:pt idx="121">
                  <c:v>1400</c:v>
                </c:pt>
                <c:pt idx="122">
                  <c:v>1400</c:v>
                </c:pt>
                <c:pt idx="123">
                  <c:v>1440</c:v>
                </c:pt>
                <c:pt idx="124">
                  <c:v>1500</c:v>
                </c:pt>
                <c:pt idx="125">
                  <c:v>1500</c:v>
                </c:pt>
                <c:pt idx="126">
                  <c:v>1520</c:v>
                </c:pt>
                <c:pt idx="127">
                  <c:v>1620</c:v>
                </c:pt>
                <c:pt idx="128">
                  <c:v>1620</c:v>
                </c:pt>
                <c:pt idx="129">
                  <c:v>1660</c:v>
                </c:pt>
                <c:pt idx="130">
                  <c:v>1660</c:v>
                </c:pt>
                <c:pt idx="131">
                  <c:v>1704</c:v>
                </c:pt>
                <c:pt idx="132">
                  <c:v>1725</c:v>
                </c:pt>
                <c:pt idx="133">
                  <c:v>1800</c:v>
                </c:pt>
                <c:pt idx="134">
                  <c:v>1850</c:v>
                </c:pt>
                <c:pt idx="135">
                  <c:v>1850</c:v>
                </c:pt>
                <c:pt idx="136">
                  <c:v>1890</c:v>
                </c:pt>
                <c:pt idx="137">
                  <c:v>2000</c:v>
                </c:pt>
                <c:pt idx="138">
                  <c:v>2200</c:v>
                </c:pt>
                <c:pt idx="139">
                  <c:v>2300</c:v>
                </c:pt>
                <c:pt idx="140">
                  <c:v>2300</c:v>
                </c:pt>
                <c:pt idx="141">
                  <c:v>2469</c:v>
                </c:pt>
                <c:pt idx="142">
                  <c:v>2500</c:v>
                </c:pt>
                <c:pt idx="143">
                  <c:v>2500</c:v>
                </c:pt>
                <c:pt idx="144">
                  <c:v>2600</c:v>
                </c:pt>
                <c:pt idx="145">
                  <c:v>2600</c:v>
                </c:pt>
                <c:pt idx="146">
                  <c:v>2600</c:v>
                </c:pt>
                <c:pt idx="147">
                  <c:v>2630</c:v>
                </c:pt>
                <c:pt idx="148">
                  <c:v>2720</c:v>
                </c:pt>
                <c:pt idx="149">
                  <c:v>2940</c:v>
                </c:pt>
                <c:pt idx="150">
                  <c:v>3058</c:v>
                </c:pt>
                <c:pt idx="151">
                  <c:v>3300</c:v>
                </c:pt>
                <c:pt idx="152">
                  <c:v>3300</c:v>
                </c:pt>
                <c:pt idx="153">
                  <c:v>3310</c:v>
                </c:pt>
                <c:pt idx="154">
                  <c:v>3400</c:v>
                </c:pt>
                <c:pt idx="155">
                  <c:v>3460</c:v>
                </c:pt>
                <c:pt idx="156">
                  <c:v>3500</c:v>
                </c:pt>
                <c:pt idx="157">
                  <c:v>3500</c:v>
                </c:pt>
                <c:pt idx="158">
                  <c:v>3625</c:v>
                </c:pt>
                <c:pt idx="159">
                  <c:v>3824.1371399999998</c:v>
                </c:pt>
                <c:pt idx="160">
                  <c:v>4000</c:v>
                </c:pt>
                <c:pt idx="161">
                  <c:v>4116</c:v>
                </c:pt>
                <c:pt idx="162">
                  <c:v>4300</c:v>
                </c:pt>
                <c:pt idx="163">
                  <c:v>4300</c:v>
                </c:pt>
                <c:pt idx="164">
                  <c:v>4457</c:v>
                </c:pt>
                <c:pt idx="165">
                  <c:v>4470.588235294118</c:v>
                </c:pt>
                <c:pt idx="166">
                  <c:v>5000</c:v>
                </c:pt>
                <c:pt idx="167">
                  <c:v>5053</c:v>
                </c:pt>
                <c:pt idx="168">
                  <c:v>6009</c:v>
                </c:pt>
                <c:pt idx="169">
                  <c:v>6300</c:v>
                </c:pt>
                <c:pt idx="170">
                  <c:v>6400</c:v>
                </c:pt>
                <c:pt idx="171">
                  <c:v>6410</c:v>
                </c:pt>
                <c:pt idx="172">
                  <c:v>6670</c:v>
                </c:pt>
                <c:pt idx="173">
                  <c:v>6700</c:v>
                </c:pt>
                <c:pt idx="174">
                  <c:v>7700</c:v>
                </c:pt>
                <c:pt idx="175">
                  <c:v>7700</c:v>
                </c:pt>
                <c:pt idx="176">
                  <c:v>9000</c:v>
                </c:pt>
                <c:pt idx="177">
                  <c:v>9400</c:v>
                </c:pt>
                <c:pt idx="178">
                  <c:v>10300</c:v>
                </c:pt>
                <c:pt idx="179">
                  <c:v>10400</c:v>
                </c:pt>
                <c:pt idx="180">
                  <c:v>11100</c:v>
                </c:pt>
                <c:pt idx="181">
                  <c:v>11400</c:v>
                </c:pt>
                <c:pt idx="182">
                  <c:v>11670</c:v>
                </c:pt>
                <c:pt idx="183">
                  <c:v>11730</c:v>
                </c:pt>
                <c:pt idx="184">
                  <c:v>12600</c:v>
                </c:pt>
                <c:pt idx="185">
                  <c:v>12720</c:v>
                </c:pt>
                <c:pt idx="186">
                  <c:v>12740</c:v>
                </c:pt>
                <c:pt idx="187">
                  <c:v>13176.470588235294</c:v>
                </c:pt>
                <c:pt idx="188">
                  <c:v>13300</c:v>
                </c:pt>
                <c:pt idx="189">
                  <c:v>13400</c:v>
                </c:pt>
                <c:pt idx="190">
                  <c:v>13400</c:v>
                </c:pt>
                <c:pt idx="191">
                  <c:v>14000</c:v>
                </c:pt>
                <c:pt idx="192">
                  <c:v>14300</c:v>
                </c:pt>
                <c:pt idx="193">
                  <c:v>15400</c:v>
                </c:pt>
                <c:pt idx="194">
                  <c:v>15400</c:v>
                </c:pt>
                <c:pt idx="195">
                  <c:v>15700</c:v>
                </c:pt>
                <c:pt idx="196">
                  <c:v>15950</c:v>
                </c:pt>
                <c:pt idx="197">
                  <c:v>16170</c:v>
                </c:pt>
                <c:pt idx="198">
                  <c:v>17750</c:v>
                </c:pt>
                <c:pt idx="199">
                  <c:v>18800</c:v>
                </c:pt>
                <c:pt idx="200">
                  <c:v>22500</c:v>
                </c:pt>
                <c:pt idx="201">
                  <c:v>23700</c:v>
                </c:pt>
                <c:pt idx="202">
                  <c:v>32800</c:v>
                </c:pt>
              </c:numCache>
            </c:numRef>
          </c:y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6C18-41AE-B023-EDF8AF56611E}"/>
            </c:ext>
          </c:extLst>
        </c:ser>
        <c:dLbls>
          <c:showLegendKey val="0"/>
          <c:showVal val="0"/>
          <c:showCatName val="0"/>
          <c:showSerName val="0"/>
          <c:showPercent val="0"/>
          <c:showBubbleSize val="0"/>
        </c:dLbls>
        <c:axId val="1844881216"/>
        <c:axId val="1844881696"/>
      </c:scatterChart>
      <c:valAx>
        <c:axId val="1844881216"/>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t>Cases</a:t>
                </a:r>
              </a:p>
            </c:rich>
          </c:tx>
          <c:layout>
            <c:manualLayout>
              <c:xMode val="edge"/>
              <c:yMode val="edge"/>
              <c:x val="0.18135170209145043"/>
              <c:y val="0.9030952214743268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44881696"/>
        <c:crosses val="autoZero"/>
        <c:crossBetween val="midCat"/>
      </c:valAx>
      <c:valAx>
        <c:axId val="184488169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t>Consideration (EUR 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44881216"/>
        <c:crosses val="autoZero"/>
        <c:crossBetween val="midCat"/>
      </c:valAx>
      <c:spPr>
        <a:noFill/>
        <a:ln>
          <a:noFill/>
        </a:ln>
        <a:effectLst/>
      </c:spPr>
    </c:plotArea>
    <c:legend>
      <c:legendPos val="r"/>
      <c:layout>
        <c:manualLayout>
          <c:xMode val="edge"/>
          <c:yMode val="edge"/>
          <c:x val="0.33488367211226983"/>
          <c:y val="0.88921713760562027"/>
          <c:w val="0.65072185290949047"/>
          <c:h val="0.1085360579016342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pl-PL"/>
              <a:t>Submissions per sector</a:t>
            </a:r>
            <a:endParaRPr lang="en-GB"/>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spPr>
            <a:ln>
              <a:noFill/>
            </a:ln>
            <a:effectLst>
              <a:outerShdw blurRad="50800" dist="38100" dir="2700000" algn="tl" rotWithShape="0">
                <a:prstClr val="black">
                  <a:alpha val="40000"/>
                </a:prstClr>
              </a:outerShdw>
            </a:effectLst>
          </c:spPr>
          <c:explosion val="6"/>
          <c:dPt>
            <c:idx val="0"/>
            <c:bubble3D val="0"/>
            <c:spPr>
              <a:solidFill>
                <a:schemeClr val="accent1"/>
              </a:solidFill>
              <a:ln w="19050">
                <a:noFill/>
              </a:ln>
              <a:effectLst>
                <a:outerShdw blurRad="50800" dist="38100" dir="2700000" algn="tl" rotWithShape="0">
                  <a:prstClr val="black">
                    <a:alpha val="40000"/>
                  </a:prstClr>
                </a:outerShdw>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1C9F-4EE3-B478-348DBDB37227}"/>
              </c:ext>
            </c:extLst>
          </c:dPt>
          <c:dPt>
            <c:idx val="1"/>
            <c:bubble3D val="0"/>
            <c:spPr>
              <a:solidFill>
                <a:srgbClr val="FFC000"/>
              </a:solidFill>
              <a:ln w="19050">
                <a:noFill/>
              </a:ln>
              <a:effectLst>
                <a:outerShdw blurRad="50800" dist="38100" dir="2700000" algn="tl" rotWithShape="0">
                  <a:prstClr val="black">
                    <a:alpha val="40000"/>
                  </a:prstClr>
                </a:outerShdw>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1C9F-4EE3-B478-348DBDB37227}"/>
              </c:ext>
            </c:extLst>
          </c:dPt>
          <c:dPt>
            <c:idx val="2"/>
            <c:bubble3D val="0"/>
            <c:spPr>
              <a:solidFill>
                <a:schemeClr val="accent6">
                  <a:lumMod val="75000"/>
                </a:schemeClr>
              </a:solidFill>
              <a:ln w="19050">
                <a:noFill/>
              </a:ln>
              <a:effectLst>
                <a:outerShdw blurRad="50800" dist="38100" dir="2700000" algn="tl" rotWithShape="0">
                  <a:prstClr val="black">
                    <a:alpha val="40000"/>
                  </a:prstClr>
                </a:outerShdw>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1C9F-4EE3-B478-348DBDB37227}"/>
              </c:ext>
            </c:extLst>
          </c:dPt>
          <c:dPt>
            <c:idx val="3"/>
            <c:bubble3D val="0"/>
            <c:spPr>
              <a:solidFill>
                <a:schemeClr val="accent1">
                  <a:lumMod val="40000"/>
                  <a:lumOff val="60000"/>
                </a:schemeClr>
              </a:solidFill>
              <a:ln w="19050">
                <a:noFill/>
              </a:ln>
              <a:effectLst>
                <a:outerShdw blurRad="50800" dist="38100" dir="2700000" algn="tl" rotWithShape="0">
                  <a:prstClr val="black">
                    <a:alpha val="40000"/>
                  </a:prstClr>
                </a:outerShdw>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1C9F-4EE3-B478-348DBDB37227}"/>
              </c:ext>
            </c:extLst>
          </c:dPt>
          <c:dPt>
            <c:idx val="4"/>
            <c:bubble3D val="0"/>
            <c:spPr>
              <a:solidFill>
                <a:srgbClr val="FF9900"/>
              </a:solidFill>
              <a:ln w="19050">
                <a:noFill/>
              </a:ln>
              <a:effectLst>
                <a:outerShdw blurRad="50800" dist="38100" dir="2700000" algn="tl" rotWithShape="0">
                  <a:prstClr val="black">
                    <a:alpha val="40000"/>
                  </a:prstClr>
                </a:outerShdw>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1C9F-4EE3-B478-348DBDB37227}"/>
              </c:ext>
            </c:extLst>
          </c:dPt>
          <c:dPt>
            <c:idx val="5"/>
            <c:bubble3D val="0"/>
            <c:spPr>
              <a:solidFill>
                <a:schemeClr val="tx1">
                  <a:lumMod val="65000"/>
                  <a:lumOff val="35000"/>
                </a:schemeClr>
              </a:solidFill>
              <a:ln w="19050">
                <a:noFill/>
              </a:ln>
              <a:effectLst>
                <a:outerShdw blurRad="50800" dist="38100" dir="2700000" algn="tl" rotWithShape="0">
                  <a:prstClr val="black">
                    <a:alpha val="40000"/>
                  </a:prstClr>
                </a:outerShdw>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1C9F-4EE3-B478-348DBDB37227}"/>
              </c:ext>
            </c:extLst>
          </c:dPt>
          <c:dPt>
            <c:idx val="6"/>
            <c:bubble3D val="0"/>
            <c:spPr>
              <a:solidFill>
                <a:schemeClr val="bg1">
                  <a:lumMod val="75000"/>
                </a:schemeClr>
              </a:solidFill>
              <a:ln w="19050">
                <a:noFill/>
              </a:ln>
              <a:effectLst>
                <a:outerShdw blurRad="50800" dist="38100" dir="2700000" algn="tl" rotWithShape="0">
                  <a:prstClr val="black">
                    <a:alpha val="40000"/>
                  </a:prstClr>
                </a:outerShdw>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D-1C9F-4EE3-B478-348DBDB37227}"/>
              </c:ext>
            </c:extLst>
          </c:dPt>
          <c:dLbls>
            <c:dLbl>
              <c:idx val="0"/>
              <c:layout>
                <c:manualLayout>
                  <c:x val="1.0973522981522177E-2"/>
                  <c:y val="0.15117154375428216"/>
                </c:manualLayout>
              </c:layout>
              <c:dLblPos val="bestFit"/>
              <c:showLegendKey val="0"/>
              <c:showVal val="0"/>
              <c:showCatName val="1"/>
              <c:showSerName val="0"/>
              <c:showPercent val="1"/>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4323674638620738"/>
                      <c:h val="0.25070288816210162"/>
                    </c:manualLayout>
                  </c15:layout>
                </c:ext>
                <c:ext xmlns:c16="http://schemas.microsoft.com/office/drawing/2014/chart" uri="{C3380CC4-5D6E-409C-BE32-E72D297353CC}">
                  <c16:uniqueId val="{00000001-1C9F-4EE3-B478-348DBDB37227}"/>
                </c:ext>
              </c:extLst>
            </c:dLbl>
            <c:dLbl>
              <c:idx val="1"/>
              <c:layout>
                <c:manualLayout>
                  <c:x val="9.1293397778520052E-3"/>
                  <c:y val="-2.7209249150012028E-2"/>
                </c:manualLayout>
              </c:layout>
              <c:dLblPos val="bestFit"/>
              <c:showLegendKey val="0"/>
              <c:showVal val="0"/>
              <c:showCatName val="1"/>
              <c:showSerName val="0"/>
              <c:showPercent val="1"/>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8419446001562603"/>
                      <c:h val="0.1913254870960906"/>
                    </c:manualLayout>
                  </c15:layout>
                </c:ext>
                <c:ext xmlns:c16="http://schemas.microsoft.com/office/drawing/2014/chart" uri="{C3380CC4-5D6E-409C-BE32-E72D297353CC}">
                  <c16:uniqueId val="{00000003-1C9F-4EE3-B478-348DBDB37227}"/>
                </c:ext>
              </c:extLst>
            </c:dLbl>
            <c:dLbl>
              <c:idx val="2"/>
              <c:layout>
                <c:manualLayout>
                  <c:x val="1.0881750234078591E-2"/>
                  <c:y val="-2.4187447000685262E-2"/>
                </c:manualLayout>
              </c:layout>
              <c:dLblPos val="bestFit"/>
              <c:showLegendKey val="0"/>
              <c:showVal val="0"/>
              <c:showCatName val="1"/>
              <c:showSerName val="0"/>
              <c:showPercent val="1"/>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1C9F-4EE3-B478-348DBDB37227}"/>
                </c:ext>
              </c:extLst>
            </c:dLbl>
            <c:dLbl>
              <c:idx val="3"/>
              <c:layout>
                <c:manualLayout>
                  <c:x val="-4.0408760463835729E-2"/>
                  <c:y val="-3.6281170501027728E-2"/>
                </c:manualLayout>
              </c:layout>
              <c:dLblPos val="bestFit"/>
              <c:showLegendKey val="0"/>
              <c:showVal val="0"/>
              <c:showCatName val="1"/>
              <c:showSerName val="0"/>
              <c:showPercent val="1"/>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7-1C9F-4EE3-B478-348DBDB37227}"/>
                </c:ext>
              </c:extLst>
            </c:dLbl>
            <c:dLbl>
              <c:idx val="4"/>
              <c:layout>
                <c:manualLayout>
                  <c:x val="-1.1065005308879187E-2"/>
                  <c:y val="5.4421755751541595E-2"/>
                </c:manualLayout>
              </c:layout>
              <c:dLblPos val="bestFit"/>
              <c:showLegendKey val="0"/>
              <c:showVal val="0"/>
              <c:showCatName val="1"/>
              <c:showSerName val="0"/>
              <c:showPercent val="1"/>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9-1C9F-4EE3-B478-348DBDB37227}"/>
                </c:ext>
              </c:extLst>
            </c:dLbl>
            <c:dLbl>
              <c:idx val="5"/>
              <c:layout>
                <c:manualLayout>
                  <c:x val="-2.397417816923824E-2"/>
                  <c:y val="6.349252450764499E-2"/>
                </c:manualLayout>
              </c:layout>
              <c:dLblPos val="bestFit"/>
              <c:showLegendKey val="0"/>
              <c:showVal val="0"/>
              <c:showCatName val="1"/>
              <c:showSerName val="0"/>
              <c:showPercent val="1"/>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30858470159916918"/>
                      <c:h val="0.39969756168632214"/>
                    </c:manualLayout>
                  </c15:layout>
                </c:ext>
                <c:ext xmlns:c16="http://schemas.microsoft.com/office/drawing/2014/chart" uri="{C3380CC4-5D6E-409C-BE32-E72D297353CC}">
                  <c16:uniqueId val="{0000000B-1C9F-4EE3-B478-348DBDB37227}"/>
                </c:ext>
              </c:extLst>
            </c:dLbl>
            <c:dLbl>
              <c:idx val="6"/>
              <c:layout>
                <c:manualLayout>
                  <c:x val="6.4481971882688838E-2"/>
                  <c:y val="2.4187685066108387E-2"/>
                </c:manualLayout>
              </c:layout>
              <c:dLblPos val="bestFit"/>
              <c:showLegendKey val="0"/>
              <c:showVal val="0"/>
              <c:showCatName val="1"/>
              <c:showSerName val="0"/>
              <c:showPercent val="1"/>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7949297299557865"/>
                      <c:h val="0.17596367692998446"/>
                    </c:manualLayout>
                  </c15:layout>
                </c:ext>
                <c:ext xmlns:c16="http://schemas.microsoft.com/office/drawing/2014/chart" uri="{C3380CC4-5D6E-409C-BE32-E72D297353CC}">
                  <c16:uniqueId val="{0000000D-1C9F-4EE3-B478-348DBDB37227}"/>
                </c:ext>
              </c:extLst>
            </c:dLbl>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Lst>
          </c:dLbls>
          <c:cat>
            <c:strRef>
              <c:f>Sheet1!$A$62:$A$68</c:f>
              <c:strCache>
                <c:ptCount val="7"/>
                <c:pt idx="0">
                  <c:v>Construction</c:v>
                </c:pt>
                <c:pt idx="1">
                  <c:v>Energy</c:v>
                </c:pt>
                <c:pt idx="2">
                  <c:v>Health</c:v>
                </c:pt>
                <c:pt idx="3">
                  <c:v>ICT</c:v>
                </c:pt>
                <c:pt idx="4">
                  <c:v>Transport</c:v>
                </c:pt>
                <c:pt idx="5">
                  <c:v>Not filled-in by contracting authorities</c:v>
                </c:pt>
                <c:pt idx="6">
                  <c:v>Other</c:v>
                </c:pt>
              </c:strCache>
            </c:strRef>
          </c:cat>
          <c:val>
            <c:numRef>
              <c:f>Sheet1!$B$62:$B$68</c:f>
              <c:numCache>
                <c:formatCode>General</c:formatCode>
                <c:ptCount val="7"/>
                <c:pt idx="0">
                  <c:v>975</c:v>
                </c:pt>
                <c:pt idx="1">
                  <c:v>355</c:v>
                </c:pt>
                <c:pt idx="2">
                  <c:v>374</c:v>
                </c:pt>
                <c:pt idx="3">
                  <c:v>881</c:v>
                </c:pt>
                <c:pt idx="4">
                  <c:v>444</c:v>
                </c:pt>
                <c:pt idx="5">
                  <c:v>208</c:v>
                </c:pt>
                <c:pt idx="6">
                  <c:v>502</c:v>
                </c:pt>
              </c:numCache>
            </c:numRef>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E-1C9F-4EE3-B478-348DBDB37227}"/>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r>
              <a:rPr lang="pl-PL" b="1">
                <a:latin typeface="Times New Roman" panose="02020603050405020304" pitchFamily="18" charset="0"/>
                <a:cs typeface="Times New Roman" panose="02020603050405020304" pitchFamily="18" charset="0"/>
              </a:rPr>
              <a:t>Number of procedures notified by Member State (Oct</a:t>
            </a:r>
            <a:r>
              <a:rPr lang="fr-BE" b="1">
                <a:latin typeface="Times New Roman" panose="02020603050405020304" pitchFamily="18" charset="0"/>
                <a:cs typeface="Times New Roman" panose="02020603050405020304" pitchFamily="18" charset="0"/>
              </a:rPr>
              <a:t>ober</a:t>
            </a:r>
            <a:r>
              <a:rPr lang="pl-PL" b="1">
                <a:latin typeface="Times New Roman" panose="02020603050405020304" pitchFamily="18" charset="0"/>
                <a:cs typeface="Times New Roman" panose="02020603050405020304" pitchFamily="18" charset="0"/>
              </a:rPr>
              <a:t> 2023 - Jan</a:t>
            </a:r>
            <a:r>
              <a:rPr lang="fr-BE" b="1">
                <a:latin typeface="Times New Roman" panose="02020603050405020304" pitchFamily="18" charset="0"/>
                <a:cs typeface="Times New Roman" panose="02020603050405020304" pitchFamily="18" charset="0"/>
              </a:rPr>
              <a:t>uary</a:t>
            </a:r>
            <a:r>
              <a:rPr lang="pl-PL" b="1">
                <a:latin typeface="Times New Roman" panose="02020603050405020304" pitchFamily="18" charset="0"/>
                <a:cs typeface="Times New Roman" panose="02020603050405020304" pitchFamily="18" charset="0"/>
              </a:rPr>
              <a:t> 2026)</a:t>
            </a:r>
            <a:endParaRPr lang="en-GB" b="1">
              <a:latin typeface="Times New Roman" panose="02020603050405020304" pitchFamily="18" charset="0"/>
              <a:cs typeface="Times New Roman" panose="02020603050405020304" pitchFamily="18" charset="0"/>
            </a:endParaRPr>
          </a:p>
        </c:rich>
      </c:tx>
      <c:layout>
        <c:manualLayout>
          <c:xMode val="edge"/>
          <c:yMode val="edge"/>
          <c:x val="0.16255501198906164"/>
          <c:y val="0"/>
        </c:manualLayout>
      </c:layout>
      <c:overlay val="0"/>
      <c:spPr>
        <a:noFill/>
        <a:ln>
          <a:noFill/>
        </a:ln>
        <a:effectLst/>
      </c:spPr>
      <c:txPr>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lumMod val="7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'Cases deduplicated'!$F$755:$F$781</c:f>
              <c:strCache>
                <c:ptCount val="27"/>
                <c:pt idx="0">
                  <c:v>AT</c:v>
                </c:pt>
                <c:pt idx="1">
                  <c:v>BE</c:v>
                </c:pt>
                <c:pt idx="2">
                  <c:v>BG</c:v>
                </c:pt>
                <c:pt idx="3">
                  <c:v>CY</c:v>
                </c:pt>
                <c:pt idx="4">
                  <c:v>CZ</c:v>
                </c:pt>
                <c:pt idx="5">
                  <c:v>DE</c:v>
                </c:pt>
                <c:pt idx="6">
                  <c:v>DK</c:v>
                </c:pt>
                <c:pt idx="7">
                  <c:v>EE</c:v>
                </c:pt>
                <c:pt idx="8">
                  <c:v>ES</c:v>
                </c:pt>
                <c:pt idx="9">
                  <c:v>FI</c:v>
                </c:pt>
                <c:pt idx="10">
                  <c:v>FR</c:v>
                </c:pt>
                <c:pt idx="11">
                  <c:v>GR</c:v>
                </c:pt>
                <c:pt idx="12">
                  <c:v>HR</c:v>
                </c:pt>
                <c:pt idx="13">
                  <c:v>HU</c:v>
                </c:pt>
                <c:pt idx="14">
                  <c:v>IE</c:v>
                </c:pt>
                <c:pt idx="15">
                  <c:v>IT</c:v>
                </c:pt>
                <c:pt idx="16">
                  <c:v>LT</c:v>
                </c:pt>
                <c:pt idx="17">
                  <c:v>LU</c:v>
                </c:pt>
                <c:pt idx="18">
                  <c:v>LV</c:v>
                </c:pt>
                <c:pt idx="19">
                  <c:v>MT</c:v>
                </c:pt>
                <c:pt idx="20">
                  <c:v>NL</c:v>
                </c:pt>
                <c:pt idx="21">
                  <c:v>PL</c:v>
                </c:pt>
                <c:pt idx="22">
                  <c:v>PT</c:v>
                </c:pt>
                <c:pt idx="23">
                  <c:v>RO</c:v>
                </c:pt>
                <c:pt idx="24">
                  <c:v>SE</c:v>
                </c:pt>
                <c:pt idx="25">
                  <c:v>SI</c:v>
                </c:pt>
                <c:pt idx="26">
                  <c:v>SK</c:v>
                </c:pt>
              </c:strCache>
            </c:strRef>
          </c:cat>
          <c:val>
            <c:numRef>
              <c:f>'Cases deduplicated'!$G$755:$G$781</c:f>
              <c:numCache>
                <c:formatCode>General</c:formatCode>
                <c:ptCount val="27"/>
                <c:pt idx="0">
                  <c:v>17</c:v>
                </c:pt>
                <c:pt idx="1">
                  <c:v>13</c:v>
                </c:pt>
                <c:pt idx="2">
                  <c:v>5</c:v>
                </c:pt>
                <c:pt idx="3">
                  <c:v>0</c:v>
                </c:pt>
                <c:pt idx="4">
                  <c:v>17</c:v>
                </c:pt>
                <c:pt idx="5">
                  <c:v>134</c:v>
                </c:pt>
                <c:pt idx="6">
                  <c:v>40</c:v>
                </c:pt>
                <c:pt idx="7">
                  <c:v>1</c:v>
                </c:pt>
                <c:pt idx="8">
                  <c:v>14</c:v>
                </c:pt>
                <c:pt idx="9">
                  <c:v>12</c:v>
                </c:pt>
                <c:pt idx="10">
                  <c:v>131</c:v>
                </c:pt>
                <c:pt idx="11">
                  <c:v>0</c:v>
                </c:pt>
                <c:pt idx="12">
                  <c:v>4</c:v>
                </c:pt>
                <c:pt idx="13">
                  <c:v>7</c:v>
                </c:pt>
                <c:pt idx="14">
                  <c:v>14</c:v>
                </c:pt>
                <c:pt idx="15">
                  <c:v>124</c:v>
                </c:pt>
                <c:pt idx="16">
                  <c:v>0</c:v>
                </c:pt>
                <c:pt idx="17">
                  <c:v>0</c:v>
                </c:pt>
                <c:pt idx="18">
                  <c:v>4</c:v>
                </c:pt>
                <c:pt idx="19">
                  <c:v>0</c:v>
                </c:pt>
                <c:pt idx="20">
                  <c:v>39</c:v>
                </c:pt>
                <c:pt idx="21">
                  <c:v>39</c:v>
                </c:pt>
                <c:pt idx="22">
                  <c:v>2</c:v>
                </c:pt>
                <c:pt idx="23">
                  <c:v>63</c:v>
                </c:pt>
                <c:pt idx="24">
                  <c:v>38</c:v>
                </c:pt>
                <c:pt idx="25">
                  <c:v>2</c:v>
                </c:pt>
                <c:pt idx="26">
                  <c:v>10</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0B76-4082-8552-0AAD7D9F39C0}"/>
            </c:ext>
          </c:extLst>
        </c:ser>
        <c:dLbls>
          <c:showLegendKey val="0"/>
          <c:showVal val="0"/>
          <c:showCatName val="0"/>
          <c:showSerName val="0"/>
          <c:showPercent val="0"/>
          <c:showBubbleSize val="0"/>
        </c:dLbls>
        <c:gapWidth val="30"/>
        <c:overlap val="-27"/>
        <c:axId val="317627935"/>
        <c:axId val="118155695"/>
      </c:barChart>
      <c:catAx>
        <c:axId val="3176279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55695"/>
        <c:crosses val="autoZero"/>
        <c:auto val="1"/>
        <c:lblAlgn val="ctr"/>
        <c:lblOffset val="100"/>
        <c:noMultiLvlLbl val="0"/>
      </c:catAx>
      <c:valAx>
        <c:axId val="118155695"/>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7627935"/>
        <c:crosses val="autoZero"/>
        <c:crossBetween val="between"/>
      </c:valAx>
      <c:spPr>
        <a:noFill/>
        <a:ln>
          <a:noFill/>
        </a:ln>
        <a:effectLst/>
      </c:spPr>
    </c:plotArea>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r>
              <a:rPr lang="pl-PL" sz="1080" b="0">
                <a:latin typeface="Aptos" panose="020B0004020202020204" pitchFamily="34" charset="0"/>
              </a:rPr>
              <a:t>Number of submissions in public</a:t>
            </a:r>
            <a:r>
              <a:rPr lang="pl-PL" sz="1080" b="0" baseline="0">
                <a:latin typeface="Aptos" panose="020B0004020202020204" pitchFamily="34" charset="0"/>
              </a:rPr>
              <a:t> procurement procedures per Member State </a:t>
            </a:r>
          </a:p>
          <a:p>
            <a:pPr>
              <a:defRPr sz="1080"/>
            </a:pPr>
            <a:r>
              <a:rPr lang="pl-PL" sz="1080" b="0" baseline="0">
                <a:latin typeface="Aptos" panose="020B0004020202020204" pitchFamily="34" charset="0"/>
              </a:rPr>
              <a:t>(Oct</a:t>
            </a:r>
            <a:r>
              <a:rPr lang="fr-BE" sz="1080" b="0" baseline="0">
                <a:latin typeface="Aptos" panose="020B0004020202020204" pitchFamily="34" charset="0"/>
              </a:rPr>
              <a:t>ober</a:t>
            </a:r>
            <a:r>
              <a:rPr lang="pl-PL" sz="1080" b="0" baseline="0">
                <a:latin typeface="Aptos" panose="020B0004020202020204" pitchFamily="34" charset="0"/>
              </a:rPr>
              <a:t> 2023 - Jan</a:t>
            </a:r>
            <a:r>
              <a:rPr lang="fr-BE" sz="1080" b="0" baseline="0">
                <a:latin typeface="Aptos" panose="020B0004020202020204" pitchFamily="34" charset="0"/>
              </a:rPr>
              <a:t>uary</a:t>
            </a:r>
            <a:r>
              <a:rPr lang="pl-PL" sz="1080" b="0" baseline="0">
                <a:latin typeface="Aptos" panose="020B0004020202020204" pitchFamily="34" charset="0"/>
              </a:rPr>
              <a:t> 2026)</a:t>
            </a:r>
            <a:endParaRPr lang="en-GB" sz="1080" b="0">
              <a:latin typeface="Aptos" panose="020B0004020202020204" pitchFamily="34" charset="0"/>
            </a:endParaRPr>
          </a:p>
        </c:rich>
      </c:tx>
      <c:overlay val="0"/>
      <c:spPr>
        <a:noFill/>
        <a:ln>
          <a:noFill/>
        </a:ln>
        <a:effectLst/>
      </c:spPr>
      <c:txPr>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rgbClr val="4472C4"/>
            </a:solidFill>
            <a:ln>
              <a:noFill/>
            </a:ln>
            <a:effectLst/>
          </c:spPr>
          <c:invertIfNegative val="0"/>
          <c:dPt>
            <c:idx val="5"/>
            <c:invertIfNegative val="0"/>
            <c:bubble3D val="0"/>
            <c:spPr>
              <a:solidFill>
                <a:srgbClr val="5B9BD5">
                  <a:lumMod val="75000"/>
                </a:srgb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6B65-41F4-B3BB-243FA0301AE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'Cases till 31-1-26'!$F$4296:$F$4322</c:f>
              <c:strCache>
                <c:ptCount val="27"/>
                <c:pt idx="0">
                  <c:v>AT</c:v>
                </c:pt>
                <c:pt idx="1">
                  <c:v>BE</c:v>
                </c:pt>
                <c:pt idx="2">
                  <c:v>BG</c:v>
                </c:pt>
                <c:pt idx="3">
                  <c:v>CY</c:v>
                </c:pt>
                <c:pt idx="4">
                  <c:v>CZ</c:v>
                </c:pt>
                <c:pt idx="5">
                  <c:v>DE</c:v>
                </c:pt>
                <c:pt idx="6">
                  <c:v>DK</c:v>
                </c:pt>
                <c:pt idx="7">
                  <c:v>EE</c:v>
                </c:pt>
                <c:pt idx="8">
                  <c:v>ES</c:v>
                </c:pt>
                <c:pt idx="9">
                  <c:v>FI</c:v>
                </c:pt>
                <c:pt idx="10">
                  <c:v>FR</c:v>
                </c:pt>
                <c:pt idx="11">
                  <c:v>GR</c:v>
                </c:pt>
                <c:pt idx="12">
                  <c:v>HR</c:v>
                </c:pt>
                <c:pt idx="13">
                  <c:v>HU</c:v>
                </c:pt>
                <c:pt idx="14">
                  <c:v>IE</c:v>
                </c:pt>
                <c:pt idx="15">
                  <c:v>IT</c:v>
                </c:pt>
                <c:pt idx="16">
                  <c:v>LT</c:v>
                </c:pt>
                <c:pt idx="17">
                  <c:v>LU</c:v>
                </c:pt>
                <c:pt idx="18">
                  <c:v>LV</c:v>
                </c:pt>
                <c:pt idx="19">
                  <c:v>MT</c:v>
                </c:pt>
                <c:pt idx="20">
                  <c:v>NL</c:v>
                </c:pt>
                <c:pt idx="21">
                  <c:v>PL</c:v>
                </c:pt>
                <c:pt idx="22">
                  <c:v>PT</c:v>
                </c:pt>
                <c:pt idx="23">
                  <c:v>RO</c:v>
                </c:pt>
                <c:pt idx="24">
                  <c:v>SE</c:v>
                </c:pt>
                <c:pt idx="25">
                  <c:v>SI</c:v>
                </c:pt>
                <c:pt idx="26">
                  <c:v>SK</c:v>
                </c:pt>
              </c:strCache>
            </c:strRef>
          </c:cat>
          <c:val>
            <c:numRef>
              <c:f>'Cases till 31-1-26'!$G$4296:$G$4322</c:f>
              <c:numCache>
                <c:formatCode>General</c:formatCode>
                <c:ptCount val="27"/>
                <c:pt idx="0">
                  <c:v>94</c:v>
                </c:pt>
                <c:pt idx="1">
                  <c:v>77</c:v>
                </c:pt>
                <c:pt idx="2">
                  <c:v>13</c:v>
                </c:pt>
                <c:pt idx="3">
                  <c:v>0</c:v>
                </c:pt>
                <c:pt idx="4">
                  <c:v>41</c:v>
                </c:pt>
                <c:pt idx="5">
                  <c:v>656</c:v>
                </c:pt>
                <c:pt idx="6">
                  <c:v>214</c:v>
                </c:pt>
                <c:pt idx="7">
                  <c:v>5</c:v>
                </c:pt>
                <c:pt idx="8">
                  <c:v>86</c:v>
                </c:pt>
                <c:pt idx="9">
                  <c:v>41</c:v>
                </c:pt>
                <c:pt idx="10">
                  <c:v>961</c:v>
                </c:pt>
                <c:pt idx="11">
                  <c:v>0</c:v>
                </c:pt>
                <c:pt idx="12">
                  <c:v>11</c:v>
                </c:pt>
                <c:pt idx="13">
                  <c:v>43</c:v>
                </c:pt>
                <c:pt idx="14">
                  <c:v>58</c:v>
                </c:pt>
                <c:pt idx="15">
                  <c:v>717</c:v>
                </c:pt>
                <c:pt idx="16">
                  <c:v>0</c:v>
                </c:pt>
                <c:pt idx="17">
                  <c:v>0</c:v>
                </c:pt>
                <c:pt idx="18">
                  <c:v>165</c:v>
                </c:pt>
                <c:pt idx="19">
                  <c:v>0</c:v>
                </c:pt>
                <c:pt idx="20">
                  <c:v>279</c:v>
                </c:pt>
                <c:pt idx="21">
                  <c:v>199</c:v>
                </c:pt>
                <c:pt idx="22">
                  <c:v>2</c:v>
                </c:pt>
                <c:pt idx="23">
                  <c:v>184</c:v>
                </c:pt>
                <c:pt idx="24">
                  <c:v>266</c:v>
                </c:pt>
                <c:pt idx="25">
                  <c:v>6</c:v>
                </c:pt>
                <c:pt idx="26">
                  <c:v>30</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6B65-41F4-B3BB-243FA0301AE2}"/>
            </c:ext>
          </c:extLst>
        </c:ser>
        <c:dLbls>
          <c:showLegendKey val="0"/>
          <c:showVal val="0"/>
          <c:showCatName val="0"/>
          <c:showSerName val="0"/>
          <c:showPercent val="0"/>
          <c:showBubbleSize val="0"/>
        </c:dLbls>
        <c:gapWidth val="30"/>
        <c:overlap val="-27"/>
        <c:axId val="317627935"/>
        <c:axId val="118155695"/>
      </c:barChart>
      <c:catAx>
        <c:axId val="3176279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55695"/>
        <c:crosses val="autoZero"/>
        <c:auto val="1"/>
        <c:lblAlgn val="ctr"/>
        <c:lblOffset val="100"/>
        <c:noMultiLvlLbl val="0"/>
      </c:catAx>
      <c:valAx>
        <c:axId val="118155695"/>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7627935"/>
        <c:crosses val="autoZero"/>
        <c:crossBetween val="between"/>
      </c:valAx>
      <c:spPr>
        <a:noFill/>
        <a:ln>
          <a:noFill/>
        </a:ln>
        <a:effectLst/>
      </c:spPr>
    </c:plotArea>
    <c:plotVisOnly val="1"/>
    <c:dispBlanksAs val="gap"/>
    <c:showDLblsOverMax val="0"/>
    <c:extLst xmlns:c15="http://schemas.microsoft.com/office/drawing/2012/chart" xmlns:c16="http://schemas.microsoft.com/office/drawing/2014/chart" xmlns:c14="http://schemas.microsoft.com/office/drawing/2007/8/2/chart" xmlns:mc="http://schemas.openxmlformats.org/markup-compatibility/2006"/>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de-DE">
                <a:solidFill>
                  <a:schemeClr val="tx1"/>
                </a:solidFill>
                <a:latin typeface="Times New Roman" panose="02020603050405020304" pitchFamily="18" charset="0"/>
                <a:cs typeface="Times New Roman" panose="02020603050405020304" pitchFamily="18" charset="0"/>
              </a:rPr>
              <a:t>Compliance</a:t>
            </a:r>
            <a:r>
              <a:rPr lang="pl-PL">
                <a:solidFill>
                  <a:schemeClr val="tx1"/>
                </a:solidFill>
                <a:latin typeface="Times New Roman" panose="02020603050405020304" pitchFamily="18" charset="0"/>
                <a:cs typeface="Times New Roman" panose="02020603050405020304" pitchFamily="18" charset="0"/>
              </a:rPr>
              <a:t> with FSR reporting obligations</a:t>
            </a:r>
            <a:endParaRPr lang="de-DE">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Number of notified FSR procedures</c:v>
                </c:pt>
              </c:strCache>
            </c:strRef>
          </c:tx>
          <c:spPr>
            <a:solidFill>
              <a:srgbClr val="FFC000"/>
            </a:solidFill>
            <a:ln>
              <a:noFill/>
            </a:ln>
            <a:effectLst/>
          </c:spPr>
          <c:invertIfNegative val="0"/>
          <c:dLbls>
            <c:dLbl>
              <c:idx val="0"/>
              <c:layout>
                <c:manualLayout>
                  <c:x val="0"/>
                  <c:y val="0"/>
                </c:manualLayout>
              </c:layout>
              <c:tx>
                <c:rich>
                  <a:bodyPr/>
                  <a:lstStyle/>
                  <a:p>
                    <a:r>
                      <a:rPr lang="en-US" baseline="0"/>
                      <a:t>40 %</a:t>
                    </a:r>
                    <a:endParaRPr lang="en-US"/>
                  </a:p>
                </c:rich>
              </c:tx>
              <c:showLegendKey val="0"/>
              <c:showVal val="1"/>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0-11EA-47C7-8EF4-42E260CBD848}"/>
                </c:ext>
              </c:extLst>
            </c:dLbl>
            <c:dLbl>
              <c:idx val="1"/>
              <c:tx>
                <c:rich>
                  <a:bodyPr/>
                  <a:lstStyle/>
                  <a:p>
                    <a:r>
                      <a:rPr lang="en-US"/>
                      <a:t>70</a:t>
                    </a:r>
                    <a:r>
                      <a:rPr lang="en-US" baseline="0"/>
                      <a:t> %</a:t>
                    </a:r>
                    <a:endParaRPr lang="en-US"/>
                  </a:p>
                </c:rich>
              </c:tx>
              <c:showLegendKey val="0"/>
              <c:showVal val="1"/>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1-11EA-47C7-8EF4-42E260CBD848}"/>
                </c:ext>
              </c:extLst>
            </c:dLbl>
            <c:dLbl>
              <c:idx val="2"/>
              <c:layout>
                <c:manualLayout>
                  <c:x val="2.3149059492562581E-3"/>
                  <c:y val="-9.7222690913635793E-2"/>
                </c:manualLayout>
              </c:layout>
              <c:tx>
                <c:rich>
                  <a:bodyPr rot="0" spcFirstLastPara="1" vertOverflow="ellipsis" vert="horz" wrap="square" lIns="38100" tIns="19050" rIns="38100" bIns="19050" anchor="ctr" anchorCtr="1">
                    <a:noAutofit/>
                  </a:bodyPr>
                  <a:lstStyle/>
                  <a:p>
                    <a:pPr>
                      <a:defRPr sz="1050" b="0" i="0" u="none" strike="noStrike" kern="1200" baseline="0">
                        <a:solidFill>
                          <a:schemeClr val="tx1">
                            <a:lumMod val="75000"/>
                            <a:lumOff val="25000"/>
                          </a:schemeClr>
                        </a:solidFill>
                        <a:latin typeface="Times New Roman" panose="02020603050405020304" pitchFamily="18" charset="0"/>
                        <a:ea typeface="+mn-ea"/>
                        <a:cs typeface="+mn-cs"/>
                      </a:defRPr>
                    </a:pPr>
                    <a:r>
                      <a:rPr lang="en-US" sz="1050" baseline="0">
                        <a:latin typeface="Times New Roman" panose="02020603050405020304" pitchFamily="18" charset="0"/>
                      </a:rPr>
                      <a:t>45 %</a:t>
                    </a:r>
                  </a:p>
                  <a:p>
                    <a:pPr>
                      <a:defRPr sz="1050">
                        <a:latin typeface="Times New Roman" panose="02020603050405020304" pitchFamily="18" charset="0"/>
                      </a:defRPr>
                    </a:pPr>
                    <a:endParaRPr lang="en-US" sz="1050" baseline="0">
                      <a:latin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050" b="0" i="0" u="none" strike="noStrike" kern="1200" baseline="0">
                      <a:solidFill>
                        <a:schemeClr val="tx1">
                          <a:lumMod val="75000"/>
                          <a:lumOff val="25000"/>
                        </a:schemeClr>
                      </a:solidFill>
                      <a:latin typeface="Times New Roman" panose="02020603050405020304" pitchFamily="18" charset="0"/>
                      <a:ea typeface="+mn-ea"/>
                      <a:cs typeface="+mn-cs"/>
                    </a:defRPr>
                  </a:pPr>
                  <a:endParaRPr lang="en-US"/>
                </a:p>
              </c:txPr>
              <c:showLegendKey val="0"/>
              <c:showVal val="1"/>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layout>
                    <c:manualLayout>
                      <c:w val="0.1316781496062992"/>
                      <c:h val="8.7182539682539667E-2"/>
                    </c:manualLayout>
                  </c15:layout>
                </c:ext>
                <c:ext xmlns:c16="http://schemas.microsoft.com/office/drawing/2014/chart" uri="{C3380CC4-5D6E-409C-BE32-E72D297353CC}">
                  <c16:uniqueId val="{00000002-11EA-47C7-8EF4-42E260CBD848}"/>
                </c:ext>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Times New Roman" panose="02020603050405020304" pitchFamily="18" charset="0"/>
                    <a:ea typeface="+mn-ea"/>
                    <a:cs typeface="+mn-cs"/>
                  </a:defRPr>
                </a:pPr>
                <a:endParaRPr lang="en-US"/>
              </a:p>
            </c:txP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0"/>
              </c:ext>
            </c:extLst>
          </c:dLbls>
          <c:cat>
            <c:strRef>
              <c:f>Sheet1!$A$2:$A$6</c:f>
              <c:strCache>
                <c:ptCount val="3"/>
                <c:pt idx="0">
                  <c:v>10/2023 - 10/2024</c:v>
                </c:pt>
                <c:pt idx="1">
                  <c:v>10/2024 - 10/2025</c:v>
                </c:pt>
                <c:pt idx="2">
                  <c:v>10/2025 - 01/2026</c:v>
                </c:pt>
              </c:strCache>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strRef>
          </c:cat>
          <c:val>
            <c:numRef>
              <c:f>Sheet1!$B$2:$B$6</c:f>
              <c:numCache>
                <c:formatCode>General</c:formatCode>
                <c:ptCount val="3"/>
                <c:pt idx="0">
                  <c:v>207</c:v>
                </c:pt>
                <c:pt idx="1">
                  <c:v>375</c:v>
                </c:pt>
                <c:pt idx="2">
                  <c:v>97</c:v>
                </c:pt>
              </c:numCache>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11EA-47C7-8EF4-42E260CBD848}"/>
            </c:ext>
          </c:extLst>
        </c:ser>
        <c:ser>
          <c:idx val="1"/>
          <c:order val="2"/>
          <c:tx>
            <c:strRef>
              <c:f>Sheet1!$D$1</c:f>
              <c:strCache>
                <c:ptCount val="1"/>
                <c:pt idx="0">
                  <c:v>Number of TED procedures</c:v>
                </c:pt>
              </c:strCache>
            </c:strRef>
          </c:tx>
          <c:spPr>
            <a:solidFill>
              <a:schemeClr val="accent1">
                <a:lumMod val="75000"/>
              </a:schemeClr>
            </a:solidFill>
            <a:ln>
              <a:noFill/>
            </a:ln>
            <a:effectLst/>
          </c:spPr>
          <c:invertIfNegative val="0"/>
          <c:dLbls>
            <c:delete val="1"/>
          </c:dLbls>
          <c:cat>
            <c:strRef>
              <c:f>Sheet1!$A$2:$A$6</c:f>
              <c:strCache>
                <c:ptCount val="3"/>
                <c:pt idx="0">
                  <c:v>10/2023 - 10/2024</c:v>
                </c:pt>
                <c:pt idx="1">
                  <c:v>10/2024 - 10/2025</c:v>
                </c:pt>
                <c:pt idx="2">
                  <c:v>10/2025 - 01/2026</c:v>
                </c:pt>
              </c:strCache>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strRef>
          </c:cat>
          <c:val>
            <c:numRef>
              <c:f>Sheet1!$D$2:$D$6</c:f>
              <c:numCache>
                <c:formatCode>General</c:formatCode>
                <c:ptCount val="3"/>
                <c:pt idx="0">
                  <c:v>522</c:v>
                </c:pt>
                <c:pt idx="1">
                  <c:v>537</c:v>
                </c:pt>
                <c:pt idx="2">
                  <c:v>213</c:v>
                </c:pt>
              </c:numCache>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11EA-47C7-8EF4-42E260CBD848}"/>
            </c:ext>
          </c:extLst>
        </c:ser>
        <c:dLbls>
          <c:showLegendKey val="0"/>
          <c:showVal val="1"/>
          <c:showCatName val="0"/>
          <c:showSerName val="0"/>
          <c:showPercent val="0"/>
          <c:showBubbleSize val="0"/>
        </c:dLbls>
        <c:gapWidth val="219"/>
        <c:axId val="1037839152"/>
        <c:axId val="1037840112"/>
      </c:barChart>
      <c:lineChart>
        <c:grouping val="standard"/>
        <c:varyColors val="0"/>
        <c:ser>
          <c:idx val="2"/>
          <c:order val="1"/>
          <c:tx>
            <c:strRef>
              <c:f>Sheet1!$C$1</c:f>
              <c:strCache>
                <c:ptCount val="1"/>
                <c:pt idx="0">
                  <c:v>Compliance rate </c:v>
                </c:pt>
              </c:strCache>
            </c:strRef>
          </c:tx>
          <c:spPr>
            <a:ln w="28575" cap="rnd">
              <a:solidFill>
                <a:schemeClr val="tx1">
                  <a:lumMod val="85000"/>
                  <a:lumOff val="15000"/>
                </a:schemeClr>
              </a:solidFill>
              <a:round/>
            </a:ln>
            <a:effectLst/>
          </c:spPr>
          <c:marker>
            <c:symbol val="none"/>
          </c:marker>
          <c:dLbls>
            <c:delete val="1"/>
          </c:dLbls>
          <c:cat>
            <c:strRef>
              <c:f>Sheet1!$A$2:$A$6</c:f>
              <c:strCache>
                <c:ptCount val="3"/>
                <c:pt idx="0">
                  <c:v>10/2023 - 10/2024</c:v>
                </c:pt>
                <c:pt idx="1">
                  <c:v>10/2024 - 10/2025</c:v>
                </c:pt>
                <c:pt idx="2">
                  <c:v>10/2025 - 01/2026</c:v>
                </c:pt>
              </c:strCache>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strRef>
          </c:cat>
          <c:val>
            <c:numRef>
              <c:f>Sheet1!$C$2:$C$6</c:f>
              <c:numCache>
                <c:formatCode>General</c:formatCode>
                <c:ptCount val="3"/>
                <c:pt idx="0">
                  <c:v>207</c:v>
                </c:pt>
                <c:pt idx="1">
                  <c:v>375</c:v>
                </c:pt>
                <c:pt idx="2">
                  <c:v>97</c:v>
                </c:pt>
              </c:numCache>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numRef>
          </c:val>
          <c:smooth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5-11EA-47C7-8EF4-42E260CBD848}"/>
            </c:ext>
          </c:extLst>
        </c:ser>
        <c:dLbls>
          <c:showLegendKey val="0"/>
          <c:showVal val="1"/>
          <c:showCatName val="0"/>
          <c:showSerName val="0"/>
          <c:showPercent val="0"/>
          <c:showBubbleSize val="0"/>
        </c:dLbls>
        <c:marker val="1"/>
        <c:smooth val="0"/>
        <c:axId val="1037839152"/>
        <c:axId val="1037840112"/>
      </c:lineChart>
      <c:catAx>
        <c:axId val="10378391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de-DE">
                    <a:solidFill>
                      <a:schemeClr val="tx1"/>
                    </a:solidFill>
                    <a:latin typeface="Times New Roman" panose="02020603050405020304" pitchFamily="18" charset="0"/>
                    <a:cs typeface="Times New Roman" panose="02020603050405020304" pitchFamily="18" charset="0"/>
                  </a:rPr>
                  <a:t>Time</a:t>
                </a:r>
                <a:r>
                  <a:rPr lang="de-DE" baseline="0">
                    <a:solidFill>
                      <a:schemeClr val="tx1"/>
                    </a:solidFill>
                    <a:latin typeface="Times New Roman" panose="02020603050405020304" pitchFamily="18" charset="0"/>
                    <a:cs typeface="Times New Roman" panose="02020603050405020304" pitchFamily="18" charset="0"/>
                  </a:rPr>
                  <a:t> frame</a:t>
                </a:r>
                <a:endParaRPr lang="de-DE">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mn-cs"/>
              </a:defRPr>
            </a:pPr>
            <a:endParaRPr lang="en-US"/>
          </a:p>
        </c:txPr>
        <c:crossAx val="1037840112"/>
        <c:crosses val="autoZero"/>
        <c:auto val="1"/>
        <c:lblAlgn val="ctr"/>
        <c:lblOffset val="100"/>
        <c:noMultiLvlLbl val="0"/>
      </c:catAx>
      <c:valAx>
        <c:axId val="1037840112"/>
        <c:scaling>
          <c:orientation val="minMax"/>
          <c:max val="54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de-DE">
                    <a:solidFill>
                      <a:schemeClr val="tx1"/>
                    </a:solidFill>
                    <a:latin typeface="Times New Roman" panose="02020603050405020304" pitchFamily="18" charset="0"/>
                    <a:cs typeface="Times New Roman" panose="02020603050405020304" pitchFamily="18" charset="0"/>
                  </a:rPr>
                  <a:t>Number</a:t>
                </a:r>
                <a:r>
                  <a:rPr lang="de-DE" baseline="0">
                    <a:solidFill>
                      <a:schemeClr val="tx1"/>
                    </a:solidFill>
                    <a:latin typeface="Times New Roman" panose="02020603050405020304" pitchFamily="18" charset="0"/>
                    <a:cs typeface="Times New Roman" panose="02020603050405020304" pitchFamily="18" charset="0"/>
                  </a:rPr>
                  <a:t> of </a:t>
                </a:r>
                <a:r>
                  <a:rPr lang="pl-PL" baseline="0">
                    <a:solidFill>
                      <a:schemeClr val="tx1"/>
                    </a:solidFill>
                    <a:latin typeface="Times New Roman" panose="02020603050405020304" pitchFamily="18" charset="0"/>
                    <a:cs typeface="Times New Roman" panose="02020603050405020304" pitchFamily="18" charset="0"/>
                  </a:rPr>
                  <a:t>cases</a:t>
                </a:r>
                <a:endParaRPr lang="de-DE">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1037839152"/>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mn-cs"/>
            </a:defRPr>
          </a:pPr>
          <a:endParaRPr lang="en-US"/>
        </a:p>
      </c:txPr>
    </c:legend>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ln>
              <a:noFill/>
            </a:ln>
            <a:effectLst>
              <a:outerShdw blurRad="50800" dist="38100" dir="2700000" algn="tl" rotWithShape="0">
                <a:prstClr val="black">
                  <a:alpha val="40000"/>
                </a:prstClr>
              </a:outerShdw>
            </a:effectLst>
          </c:spPr>
          <c:explosion val="7"/>
          <c:dPt>
            <c:idx val="0"/>
            <c:bubble3D val="0"/>
            <c:spPr>
              <a:solidFill>
                <a:schemeClr val="accent1"/>
              </a:solidFill>
              <a:ln w="19050">
                <a:noFill/>
              </a:ln>
              <a:effectLst>
                <a:outerShdw blurRad="50800" dist="38100" dir="2700000" algn="tl" rotWithShape="0">
                  <a:prstClr val="black">
                    <a:alpha val="40000"/>
                  </a:prstClr>
                </a:outerShdw>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807A-482B-B990-9BA66EB6B741}"/>
              </c:ext>
            </c:extLst>
          </c:dPt>
          <c:dPt>
            <c:idx val="1"/>
            <c:bubble3D val="0"/>
            <c:spPr>
              <a:solidFill>
                <a:schemeClr val="accent2"/>
              </a:solidFill>
              <a:ln w="19050">
                <a:noFill/>
              </a:ln>
              <a:effectLst>
                <a:outerShdw blurRad="50800" dist="38100" dir="2700000" algn="tl" rotWithShape="0">
                  <a:prstClr val="black">
                    <a:alpha val="40000"/>
                  </a:prstClr>
                </a:outerShdw>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807A-482B-B990-9BA66EB6B741}"/>
              </c:ext>
            </c:extLst>
          </c:dPt>
          <c:dPt>
            <c:idx val="2"/>
            <c:bubble3D val="0"/>
            <c:spPr>
              <a:solidFill>
                <a:srgbClr val="FFC000"/>
              </a:solidFill>
              <a:ln w="19050">
                <a:noFill/>
              </a:ln>
              <a:effectLst>
                <a:outerShdw blurRad="50800" dist="38100" dir="2700000" algn="tl" rotWithShape="0">
                  <a:prstClr val="black">
                    <a:alpha val="40000"/>
                  </a:prstClr>
                </a:outerShdw>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807A-482B-B990-9BA66EB6B741}"/>
              </c:ext>
            </c:extLst>
          </c:dPt>
          <c:dPt>
            <c:idx val="3"/>
            <c:bubble3D val="0"/>
            <c:spPr>
              <a:solidFill>
                <a:schemeClr val="accent4"/>
              </a:solidFill>
              <a:ln w="19050">
                <a:noFill/>
              </a:ln>
              <a:effectLst>
                <a:outerShdw blurRad="50800" dist="38100" dir="2700000" algn="tl" rotWithShape="0">
                  <a:prstClr val="black">
                    <a:alpha val="40000"/>
                  </a:prstClr>
                </a:outerShdw>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807A-482B-B990-9BA66EB6B741}"/>
              </c:ext>
            </c:extLst>
          </c:dPt>
          <c:dLbls>
            <c:dLbl>
              <c:idx val="0"/>
              <c:layout>
                <c:manualLayout>
                  <c:x val="-6.2665532459412115E-2"/>
                  <c:y val="-6.7167817817600853E-3"/>
                </c:manualLayout>
              </c:layout>
              <c:tx>
                <c:rich>
                  <a:bodyPr/>
                  <a:lstStyle/>
                  <a:p>
                    <a:fld id="{83450015-0772-4688-8E6D-91150C56AC12}" type="CATEGORYNAME">
                      <a:rPr lang="en-US"/>
                      <a:pPr/>
                      <a:t>[CATEGORY NAME]</a:t>
                    </a:fld>
                    <a:r>
                      <a:rPr lang="en-US" baseline="0"/>
                      <a:t>; </a:t>
                    </a:r>
                  </a:p>
                  <a:p>
                    <a:fld id="{5427E403-1125-4C6A-9BF1-D16EE7FC278F}" type="VALUE">
                      <a:rPr lang="en-US" baseline="0"/>
                      <a:pPr/>
                      <a:t>[VALUE]</a:t>
                    </a:fld>
                    <a:r>
                      <a:rPr lang="en-US" baseline="0"/>
                      <a:t>; </a:t>
                    </a:r>
                  </a:p>
                  <a:p>
                    <a:fld id="{8502C881-9538-4EDF-AAB3-89039910F22B}" type="PERCENTAGE">
                      <a:rPr lang="en-US" baseline="0"/>
                      <a:pPr/>
                      <a:t>[PERCENTAGE]</a:t>
                    </a:fld>
                    <a:endParaRPr lang="en-GB"/>
                  </a:p>
                </c:rich>
              </c:tx>
              <c:dLblPos val="bestFit"/>
              <c:showLegendKey val="0"/>
              <c:showVal val="1"/>
              <c:showCatName val="1"/>
              <c:showSerName val="0"/>
              <c:showPercent val="1"/>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2494936055430745"/>
                      <c:h val="0.4507893852872018"/>
                    </c:manualLayout>
                  </c15:layout>
                  <c15:dlblFieldTable/>
                  <c15:showDataLabelsRange val="0"/>
                </c:ext>
                <c:ext xmlns:c16="http://schemas.microsoft.com/office/drawing/2014/chart" uri="{C3380CC4-5D6E-409C-BE32-E72D297353CC}">
                  <c16:uniqueId val="{00000001-807A-482B-B990-9BA66EB6B741}"/>
                </c:ext>
              </c:extLst>
            </c:dLbl>
            <c:dLbl>
              <c:idx val="1"/>
              <c:layout>
                <c:manualLayout>
                  <c:x val="6.749507419605788E-2"/>
                  <c:y val="3.3585231383732692E-2"/>
                </c:manualLayout>
              </c:layout>
              <c:tx>
                <c:rich>
                  <a:bodyPr/>
                  <a:lstStyle/>
                  <a:p>
                    <a:fld id="{347018D4-F356-49E0-A1E7-7AD0A9C00BB3}" type="CATEGORYNAME">
                      <a:rPr lang="en-US"/>
                      <a:pPr/>
                      <a:t>[CATEGORY NAME]</a:t>
                    </a:fld>
                    <a:r>
                      <a:rPr lang="en-US" baseline="0"/>
                      <a:t>; </a:t>
                    </a:r>
                  </a:p>
                  <a:p>
                    <a:fld id="{38DDC0E9-3793-4246-A61A-D7A15F9600E6}" type="VALUE">
                      <a:rPr lang="en-US" baseline="0"/>
                      <a:pPr/>
                      <a:t>[VALUE]</a:t>
                    </a:fld>
                    <a:r>
                      <a:rPr lang="en-US" baseline="0"/>
                      <a:t>; </a:t>
                    </a:r>
                  </a:p>
                  <a:p>
                    <a:fld id="{880B11B7-B3C1-44F3-A6F9-FB2847EBD54A}" type="PERCENTAGE">
                      <a:rPr lang="en-US" baseline="0"/>
                      <a:pPr/>
                      <a:t>[PERCENTAGE]</a:t>
                    </a:fld>
                    <a:endParaRPr lang="en-GB"/>
                  </a:p>
                </c:rich>
              </c:tx>
              <c:dLblPos val="bestFit"/>
              <c:showLegendKey val="0"/>
              <c:showVal val="1"/>
              <c:showCatName val="1"/>
              <c:showSerName val="0"/>
              <c:showPercent val="1"/>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366389658356417"/>
                      <c:h val="0.3646624118239839"/>
                    </c:manualLayout>
                  </c15:layout>
                  <c15:dlblFieldTable/>
                  <c15:showDataLabelsRange val="0"/>
                </c:ext>
                <c:ext xmlns:c16="http://schemas.microsoft.com/office/drawing/2014/chart" uri="{C3380CC4-5D6E-409C-BE32-E72D297353CC}">
                  <c16:uniqueId val="{00000003-807A-482B-B990-9BA66EB6B741}"/>
                </c:ext>
              </c:extLst>
            </c:dLbl>
            <c:dLbl>
              <c:idx val="2"/>
              <c:layout>
                <c:manualLayout>
                  <c:x val="0.10175438596491228"/>
                  <c:y val="-8.7321337102718527E-2"/>
                </c:manualLayout>
              </c:layout>
              <c:tx>
                <c:rich>
                  <a:bodyPr/>
                  <a:lstStyle/>
                  <a:p>
                    <a:fld id="{544A6901-9BF7-44B3-8DFA-77B156D2E594}" type="CATEGORYNAME">
                      <a:rPr lang="en-US"/>
                      <a:pPr/>
                      <a:t>[CATEGORY NAME]</a:t>
                    </a:fld>
                    <a:r>
                      <a:rPr lang="en-US" baseline="0"/>
                      <a:t>; </a:t>
                    </a:r>
                  </a:p>
                  <a:p>
                    <a:fld id="{71FF70E7-16DB-499C-A1F0-44924A5728DF}" type="VALUE">
                      <a:rPr lang="en-US" baseline="0"/>
                      <a:pPr/>
                      <a:t>[VALUE]</a:t>
                    </a:fld>
                    <a:r>
                      <a:rPr lang="en-US" baseline="0"/>
                      <a:t>; </a:t>
                    </a:r>
                  </a:p>
                  <a:p>
                    <a:fld id="{9D0F8645-F815-4998-9495-665AC4DCE26C}" type="PERCENTAGE">
                      <a:rPr lang="en-US" baseline="0"/>
                      <a:pPr/>
                      <a:t>[PERCENTAGE]</a:t>
                    </a:fld>
                    <a:endParaRPr lang="en-GB"/>
                  </a:p>
                </c:rich>
              </c:tx>
              <c:dLblPos val="bestFit"/>
              <c:showLegendKey val="0"/>
              <c:showVal val="1"/>
              <c:showCatName val="1"/>
              <c:showSerName val="0"/>
              <c:showPercent val="1"/>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5311172668513388"/>
                      <c:h val="0.4507893852872018"/>
                    </c:manualLayout>
                  </c15:layout>
                  <c15:dlblFieldTable/>
                  <c15:showDataLabelsRange val="0"/>
                </c:ext>
                <c:ext xmlns:c16="http://schemas.microsoft.com/office/drawing/2014/chart" uri="{C3380CC4-5D6E-409C-BE32-E72D297353CC}">
                  <c16:uniqueId val="{00000005-807A-482B-B990-9BA66EB6B741}"/>
                </c:ext>
              </c:extLst>
            </c:dLbl>
            <c:dLbl>
              <c:idx val="3"/>
              <c:layout>
                <c:manualLayout>
                  <c:x val="-0.15540151663867502"/>
                  <c:y val="-3.3584966888746341E-2"/>
                </c:manualLayout>
              </c:layout>
              <c:tx>
                <c:rich>
                  <a:bodyPr/>
                  <a:lstStyle/>
                  <a:p>
                    <a:fld id="{B23FB966-9CA5-4493-A17D-96B2A69E84F8}" type="CATEGORYNAME">
                      <a:rPr lang="en-US"/>
                      <a:pPr/>
                      <a:t>[CATEGORY NAME]</a:t>
                    </a:fld>
                    <a:r>
                      <a:rPr lang="en-US" baseline="0"/>
                      <a:t>; </a:t>
                    </a:r>
                  </a:p>
                  <a:p>
                    <a:fld id="{01BA8D93-D95B-4F20-9D44-B70B8973A07D}" type="VALUE">
                      <a:rPr lang="en-US" baseline="0"/>
                      <a:pPr/>
                      <a:t>[VALUE]</a:t>
                    </a:fld>
                    <a:r>
                      <a:rPr lang="en-US" baseline="0"/>
                      <a:t>;</a:t>
                    </a:r>
                  </a:p>
                  <a:p>
                    <a:r>
                      <a:rPr lang="en-US" baseline="0"/>
                      <a:t> </a:t>
                    </a:r>
                    <a:fld id="{F992C1B4-8AEF-427A-A245-528FAAED956D}" type="PERCENTAGE">
                      <a:rPr lang="en-US" baseline="0"/>
                      <a:pPr/>
                      <a:t>[PERCENTAGE]</a:t>
                    </a:fld>
                    <a:endParaRPr lang="en-US" baseline="0"/>
                  </a:p>
                </c:rich>
              </c:tx>
              <c:dLblPos val="bestFit"/>
              <c:showLegendKey val="0"/>
              <c:showVal val="1"/>
              <c:showCatName val="1"/>
              <c:showSerName val="0"/>
              <c:showPercent val="1"/>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2507848568790398"/>
                      <c:h val="0.4507893852872018"/>
                    </c:manualLayout>
                  </c15:layout>
                  <c15:dlblFieldTable/>
                  <c15:showDataLabelsRange val="0"/>
                </c:ext>
                <c:ext xmlns:c16="http://schemas.microsoft.com/office/drawing/2014/chart" uri="{C3380CC4-5D6E-409C-BE32-E72D297353CC}">
                  <c16:uniqueId val="{00000007-807A-482B-B990-9BA66EB6B741}"/>
                </c:ext>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Lst>
          </c:dLbls>
          <c:cat>
            <c:strRef>
              <c:f>Sheet1!$A$50:$A$53</c:f>
              <c:strCache>
                <c:ptCount val="4"/>
                <c:pt idx="0">
                  <c:v>Support increasing thresholds</c:v>
                </c:pt>
                <c:pt idx="1">
                  <c:v>No opinion</c:v>
                </c:pt>
                <c:pt idx="2">
                  <c:v>Support current thresholds</c:v>
                </c:pt>
                <c:pt idx="3">
                  <c:v>Support decreasing thresholds</c:v>
                </c:pt>
              </c:strCache>
            </c:strRef>
          </c:cat>
          <c:val>
            <c:numRef>
              <c:f>Sheet1!$B$50:$B$53</c:f>
              <c:numCache>
                <c:formatCode>General</c:formatCode>
                <c:ptCount val="4"/>
                <c:pt idx="0">
                  <c:v>20</c:v>
                </c:pt>
                <c:pt idx="1">
                  <c:v>16</c:v>
                </c:pt>
                <c:pt idx="2">
                  <c:v>10</c:v>
                </c:pt>
                <c:pt idx="3">
                  <c:v>8</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807A-482B-B990-9BA66EB6B741}"/>
            </c:ext>
          </c:extLst>
        </c:ser>
        <c:dLbls>
          <c:showLegendKey val="0"/>
          <c:showVal val="0"/>
          <c:showCatName val="0"/>
          <c:showSerName val="0"/>
          <c:showPercent val="0"/>
          <c:showBubbleSize val="0"/>
          <c:showLeaderLines val="1"/>
        </c:dLbls>
        <c:firstSliceAng val="227"/>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dc5aaf555944b699ba22f587dc89ac9 xmlns="cf1f171b-54b5-4e09-afef-dde7471acbe6">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pdc5aaf555944b699ba22f587dc89ac9>
    <TaxCatchAll xmlns="f3538e03-908c-4e24-aceb-8b5344120437"/>
    <ActualModifiedBy xmlns="cf1f171b-54b5-4e09-afef-dde7471acbe6" xsi:nil="true"/>
    <ActualCreatedBy xmlns="cf1f171b-54b5-4e09-afef-dde7471acbe6" xsi:nil="true"/>
    <ActualModifiedOn xmlns="cf1f171b-54b5-4e09-afef-dde7471acbe6" xsi:nil="true"/>
    <ActualCreatedOn xmlns="cf1f171b-54b5-4e09-afef-dde7471acbe6" xsi:nil="true"/>
  </documentManagement>
</p:properties>
</file>

<file path=customXml/item2.xml><?xml version="1.0" encoding="utf-8"?>
<Author Role="Creator" AuthorRoleName="Writer" AuthorRoleId="a4fbaff4-b07c-48b4-a21e-e7b9eedf3796">
  <Id>c1494f65-11fa-4fb2-9267-c2cfcae22ece</Id>
  <Names>
    <Latin>
      <FirstName>Iveta</FirstName>
      <LastName>STOYANOVA</LastName>
    </Latin>
    <Greek>
      <FirstName/>
      <LastName/>
    </Greek>
    <Cyrillic>
      <FirstName/>
      <LastName/>
    </Cyrillic>
    <DocumentScript>
      <FirstName>Iveta</FirstName>
      <LastName>STOYANOVA</LastName>
      <FullName>Iveta STOYANOVA</FullName>
    </DocumentScript>
  </Names>
  <Initials>IS</Initials>
  <Gender>f</Gender>
  <Email/>
  <Service>COMP.K.2</Service>
  <Function ADCode="" ShowInSignature="true" ShowInHeader="false" HeaderText=""/>
  <WebAddress/>
  <FunctionalMailbox/>
  <InheritedWebAddress>WebAddress</InheritedWebAddress>
  <OrgaEntity1>
    <Id>b3bda33f-e94b-4892-a3f0-94c633b11b72</Id>
    <LogicalLevel>1</LogicalLevel>
    <Name>COMP</Name>
    <HeadLine1>Directorate-General for Competition</HeadLine1>
    <HeadLine2/>
    <PrimaryAddressId>f03b5801-04c9-4931-aa17-c6d6c70bc579</PrimaryAddressId>
    <SecondaryAddressId/>
    <WebAddress>WebAddress</WebAddress>
    <InheritedWebAddress>WebAddress</InheritedWebAddress>
    <ShowInHeader>true</ShowInHeader>
  </OrgaEntity1>
  <OrgaEntity2>
    <Id>f3eb5770-2954-43ce-8a2c-bbb4be547d51</Id>
    <LogicalLevel>2</LogicalLevel>
    <Name>COMP.K</Name>
    <HeadLine1>Foreign Subsidies</HeadLine1>
    <HeadLine2/>
    <PrimaryAddressId>f03b5801-04c9-4931-aa17-c6d6c70bc579</PrimaryAddressId>
    <SecondaryAddressId/>
    <WebAddress/>
    <InheritedWebAddress>WebAddress</InheritedWebAddress>
    <ShowInHeader>true</ShowInHeader>
  </OrgaEntity2>
  <OrgaEntity3>
    <Id>c8445f57-9116-4d79-8ad6-f869ff85cc21</Id>
    <LogicalLevel>3</LogicalLevel>
    <Name>COMP.K.2</Name>
    <HeadLine1/>
    <HeadLine2/>
    <PrimaryAddressId>f03b5801-04c9-4931-aa17-c6d6c70bc579</PrimaryAddressId>
    <SecondaryAddressId/>
    <WebAddress/>
    <InheritedWebAddress>WebAddress</InheritedWebAddress>
    <ShowInHeader>true</ShowInHeader>
  </OrgaEntity3>
  <Hierarchy>
    <OrgaEntity>
      <Id>b3bda33f-e94b-4892-a3f0-94c633b11b72</Id>
      <LogicalLevel>1</LogicalLevel>
      <Name>COMP</Name>
      <HeadLine1>Directorate-General for Competition</HeadLine1>
      <HeadLine2/>
      <PrimaryAddressId>f03b5801-04c9-4931-aa17-c6d6c70bc579</PrimaryAddressId>
      <SecondaryAddressId/>
      <WebAddress>WebAddress</WebAddress>
      <InheritedWebAddress>WebAddress</InheritedWebAddress>
      <ShowInHeader>true</ShowInHeader>
    </OrgaEntity>
    <OrgaEntity>
      <Id>f3eb5770-2954-43ce-8a2c-bbb4be547d51</Id>
      <LogicalLevel>2</LogicalLevel>
      <Name>COMP.K</Name>
      <HeadLine1>Foreign Subsidies</HeadLine1>
      <HeadLine2/>
      <PrimaryAddressId>f03b5801-04c9-4931-aa17-c6d6c70bc579</PrimaryAddressId>
      <SecondaryAddressId/>
      <WebAddress/>
      <InheritedWebAddress>WebAddress</InheritedWebAddress>
      <ShowInHeader>true</ShowInHeader>
    </OrgaEntity>
    <OrgaEntity>
      <Id>c8445f57-9116-4d79-8ad6-f869ff85cc21</Id>
      <LogicalLevel>3</LogicalLevel>
      <Name>COMP.K.2</Name>
      <HeadLine1>Foreign Subsidies II</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+32 229-64073</Phone>
    <Office>MADO 10/010</Office>
  </MainWorkplace>
  <Workplaces>
    <Workplace IsMain="true">
      <AddressId>f03b5801-04c9-4931-aa17-c6d6c70bc579</AddressId>
      <Fax/>
      <Phone>+32 229-64073</Phone>
      <Office/>
    </Workplace>
  </Workplaces>
</Author>
</file>

<file path=customXml/item3.xml><?xml version="1.0" encoding="utf-8"?>
<ct:contentTypeSchema xmlns:ct="http://schemas.microsoft.com/office/2006/metadata/contentType" xmlns:ma="http://schemas.microsoft.com/office/2006/metadata/properties/metaAttributes" ct:_="" ma:_="" ma:contentTypeName="Document" ma:contentTypeID="0x0101004C5D9168D219EF46BD84AD9B1F6859F9" ma:contentTypeVersion="9" ma:contentTypeDescription="Create a new document." ma:contentTypeScope="" ma:versionID="77712b61fc6d2eb670d9fee044a14b0c">
  <xsd:schema xmlns:xsd="http://www.w3.org/2001/XMLSchema" xmlns:xs="http://www.w3.org/2001/XMLSchema" xmlns:p="http://schemas.microsoft.com/office/2006/metadata/properties" xmlns:ns2="cf1f171b-54b5-4e09-afef-dde7471acbe6" xmlns:ns3="f3538e03-908c-4e24-aceb-8b5344120437" targetNamespace="http://schemas.microsoft.com/office/2006/metadata/properties" ma:root="true" ma:fieldsID="1a2b1d21e557ca7bd3642809954894db" ns2:_="" ns3:_="">
    <xsd:import namespace="cf1f171b-54b5-4e09-afef-dde7471acbe6"/>
    <xsd:import namespace="f3538e03-908c-4e24-aceb-8b5344120437"/>
    <xsd:element name="properties">
      <xsd:complexType>
        <xsd:sequence>
          <xsd:element name="documentManagement">
            <xsd:complexType>
              <xsd:all>
                <xsd:element ref="ns2:pdc5aaf555944b699ba22f587dc89ac9" minOccurs="0"/>
                <xsd:element ref="ns3:TaxCatchAll" minOccurs="0"/>
                <xsd:element ref="ns3:SharedWithUsers" minOccurs="0"/>
                <xsd:element ref="ns3:SharedWithDetails" minOccurs="0"/>
                <xsd:element ref="ns2:ActualModifiedBy" minOccurs="0"/>
                <xsd:element ref="ns2:ActualCreatedBy" minOccurs="0"/>
                <xsd:element ref="ns2:ActualModifiedOn" minOccurs="0"/>
                <xsd:element ref="ns2:ActualCreated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1f171b-54b5-4e09-afef-dde7471acbe6" elementFormDefault="qualified">
    <xsd:import namespace="http://schemas.microsoft.com/office/2006/documentManagement/types"/>
    <xsd:import namespace="http://schemas.microsoft.com/office/infopath/2007/PartnerControls"/>
    <xsd:element name="pdc5aaf555944b699ba22f587dc89ac9" ma:index="9" nillable="true" ma:taxonomy="true" ma:internalName="pdc5aaf555944b699ba22f587dc89ac9" ma:taxonomyFieldName="Language" ma:displayName="Language" ma:fieldId="{9dc5aaf5-5594-4b69-9ba2-2f587dc89ac9}" ma:sspId="89dcaa11-1713-4e9f-97e0-8c27459cd68b" ma:termSetId="c2641157-59b3-4f13-8ab0-85dbdae85c59" ma:anchorId="00000000-0000-0000-0000-000000000000" ma:open="false" ma:isKeyword="false">
      <xsd:complexType>
        <xsd:sequence>
          <xsd:element ref="pc:Terms" minOccurs="0" maxOccurs="1"/>
        </xsd:sequence>
      </xsd:complexType>
    </xsd:element>
    <xsd:element name="ActualModifiedBy" ma:index="13" nillable="true" ma:displayName="ActualModifiedBy" ma:internalName="ActualModifiedBy">
      <xsd:simpleType>
        <xsd:restriction base="dms:Text"/>
      </xsd:simpleType>
    </xsd:element>
    <xsd:element name="ActualCreatedBy" ma:index="14" nillable="true" ma:displayName="ActualCreatedBy" ma:internalName="ActualCreatedBy">
      <xsd:simpleType>
        <xsd:restriction base="dms:Text"/>
      </xsd:simpleType>
    </xsd:element>
    <xsd:element name="ActualModifiedOn" ma:index="15" nillable="true" ma:displayName="ActualModifiedOn" ma:format="DateTime" ma:internalName="ActualModifiedOn">
      <xsd:simpleType>
        <xsd:restriction base="dms:DateTime"/>
      </xsd:simpleType>
    </xsd:element>
    <xsd:element name="ActualCreatedOn" ma:index="16" nillable="true" ma:displayName="ActualCreatedOn" ma:format="DateTime" ma:internalName="ActualCreatedOn">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3538e03-908c-4e24-aceb-8b534412043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7ae29ab-a365-46e0-9104-29c4551fa4d2}" ma:internalName="TaxCatchAll" ma:showField="CatchAllData" ma:web="f3538e03-908c-4e24-aceb-8b5344120437">
      <xsd:complexType>
        <xsd:complexContent>
          <xsd:extension base="dms:MultiChoiceLookup">
            <xsd:sequence>
              <xsd:element name="Value" type="dms:Lookup" maxOccurs="unbounded" minOccurs="0" nillable="true"/>
            </xsd:sequence>
          </xsd:extension>
        </xsd:complexContent>
      </xsd:complex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EurolookProperties>
  <ProductCustomizationId>EC</ProductCustomizationId>
  <Created>
    <Version>10.0.47654.0</Version>
    <Date>2025-04-16T10:11:06</Date>
    <Language>EN</Language>
    <Note/>
  </Created>
  <Edited>
    <Version/>
    <Date/>
  </Edited>
  <DocumentModel>
    <Id>6cbda13a-4db2-46c6-876a-ef72275827ef</Id>
    <Name>Report</Name>
  </DocumentModel>
  <CustomTemplate>
    <Id/>
    <Name/>
  </CustomTemplate>
  <DocumentDate>2025-04-16T10:11:06</DocumentDate>
  <DocumentVersion>0.1</DocumentVersion>
  <CompatibilityMode>Eurolook10</CompatibilityMode>
  <DocumentMetadata>
    <EC_SecurityMarking MetadataSerializationType="SimpleValue"/>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EC_SecurityReleasability MetadataSerializationType="SimpleValue"/>
    <EC_SecurityDistributionSensitive MetadataSerializationType="SimpleValue"/>
    <EC_SecurityDateMarking MetadataSerializationType="SimpleValue"/>
  </DocumentMetadata>
</Eurolook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C71C92-EAC2-4A04-8052-EE77CF751C78}">
  <ds:schemaRefs>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purl.org/dc/dcmitype/"/>
    <ds:schemaRef ds:uri="http://purl.org/dc/terms/"/>
    <ds:schemaRef ds:uri="f3538e03-908c-4e24-aceb-8b5344120437"/>
    <ds:schemaRef ds:uri="http://schemas.openxmlformats.org/package/2006/metadata/core-properties"/>
    <ds:schemaRef ds:uri="cf1f171b-54b5-4e09-afef-dde7471acbe6"/>
    <ds:schemaRef ds:uri="http://www.w3.org/XML/1998/namespace"/>
  </ds:schemaRefs>
</ds:datastoreItem>
</file>

<file path=customXml/itemProps2.xml><?xml version="1.0" encoding="utf-8"?>
<ds:datastoreItem xmlns:ds="http://schemas.openxmlformats.org/officeDocument/2006/customXml" ds:itemID="{5C5593B6-6557-4159-A068-6CE0EDD092A3}">
  <ds:schemaRefs/>
</ds:datastoreItem>
</file>

<file path=customXml/itemProps3.xml><?xml version="1.0" encoding="utf-8"?>
<ds:datastoreItem xmlns:ds="http://schemas.openxmlformats.org/officeDocument/2006/customXml" ds:itemID="{16EA526B-0A7F-4C7D-8425-5B0B038E89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1f171b-54b5-4e09-afef-dde7471acbe6"/>
    <ds:schemaRef ds:uri="f3538e03-908c-4e24-aceb-8b53441204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6F9933FB-5927-4846-9652-550E98653822}">
  <ds:schemaRefs>
    <ds:schemaRef ds:uri="http://schemas.microsoft.com/sharepoint/v3/contenttype/forms"/>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A8C0F3D8-E2CC-4438-8A90-2A1023F33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22</Pages>
  <Words>25367</Words>
  <Characters>144592</Characters>
  <Application>Microsoft Office Word</Application>
  <DocSecurity>0</DocSecurity>
  <PresentationFormat>Microsoft Word 14.0</PresentationFormat>
  <Lines>1204</Lines>
  <Paragraphs>339</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description/>
  <cp:lastModifiedBy>EC CoDe</cp:lastModifiedBy>
  <cp:revision>4</cp:revision>
  <cp:lastPrinted>2026-03-31T13:48:00Z</cp:lastPrinted>
  <dcterms:created xsi:type="dcterms:W3CDTF">2026-07-06T08:56:00Z</dcterms:created>
  <dcterms:modified xsi:type="dcterms:W3CDTF">2026-07-14T06:53:00Z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2025-04-16T08:37:47Z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8c16aa2f-c38c-4ba2-93dd-958c72b954e7</vt:lpwstr>
  </property>
  <property fmtid="{D5CDD505-2E9C-101B-9397-08002B2CF9AE}" pid="8" name="MSIP_Label_6bd9ddd1-4d20-43f6-abfa-fc3c07406f94_ContentBits">
    <vt:lpwstr>0</vt:lpwstr>
  </property>
  <property fmtid="{D5CDD505-2E9C-101B-9397-08002B2CF9AE}" pid="9" name="ContentTypeId">
    <vt:lpwstr>0x0101004C5D9168D219EF46BD84AD9B1F6859F9</vt:lpwstr>
  </property>
  <property fmtid="{D5CDD505-2E9C-101B-9397-08002B2CF9AE}" pid="10" name="Level of sensitivity">
    <vt:lpwstr>Standard treatment</vt:lpwstr>
  </property>
  <property fmtid="{D5CDD505-2E9C-101B-9397-08002B2CF9AE}" pid="11" name="_LW_INVALIDATED_EurolookVersion">
    <vt:lpwstr>10.0</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CP-025</vt:lpwstr>
  </property>
  <property fmtid="{D5CDD505-2E9C-101B-9397-08002B2CF9AE}" pid="15" name="Last edited using">
    <vt:lpwstr>LW 9.2, Build 20250828</vt:lpwstr>
  </property>
  <property fmtid="{D5CDD505-2E9C-101B-9397-08002B2CF9AE}" pid="16" name="Created using">
    <vt:lpwstr>LW 9.2, Build 20250828</vt:lpwstr>
  </property>
  <property fmtid="{D5CDD505-2E9C-101B-9397-08002B2CF9AE}" pid="17" name="DocStatus">
    <vt:lpwstr>Green</vt:lpwstr>
  </property>
</Properties>
</file>